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503F">
      <w:pPr>
        <w:widowControl w:val="0"/>
        <w:autoSpaceDE w:val="0"/>
        <w:autoSpaceDN w:val="0"/>
        <w:adjustRightInd w:val="0"/>
        <w:rPr>
          <w:lang w:val="en-US" w:eastAsia="en-US"/>
        </w:rPr>
      </w:pPr>
      <w:bookmarkStart w:id="0" w:name="_GoBack"/>
      <w:bookmarkEnd w:id="0"/>
      <w:r>
        <w:rPr>
          <w:lang w:val="en-US" w:eastAsia="en-US"/>
        </w:rPr>
        <w:t xml:space="preserve"> </w:t>
      </w:r>
    </w:p>
    <w:p w:rsidR="00000000" w:rsidRDefault="000F503F">
      <w:pPr>
        <w:widowControl w:val="0"/>
        <w:autoSpaceDE w:val="0"/>
        <w:autoSpaceDN w:val="0"/>
        <w:adjustRightInd w:val="0"/>
        <w:jc w:val="center"/>
        <w:rPr>
          <w:lang w:val="en-US" w:eastAsia="en-US"/>
        </w:rPr>
      </w:pPr>
      <w:r>
        <w:rPr>
          <w:rFonts w:ascii="Arial" w:hAnsi="Arial"/>
          <w:b/>
          <w:color w:val="000000"/>
          <w:sz w:val="32"/>
          <w:lang w:val="en-US" w:eastAsia="en-US"/>
        </w:rPr>
        <w:t>Safety Data Sheet</w:t>
      </w:r>
    </w:p>
    <w:p w:rsidR="00000000" w:rsidRDefault="000F503F">
      <w:pPr>
        <w:widowControl w:val="0"/>
        <w:autoSpaceDE w:val="0"/>
        <w:autoSpaceDN w:val="0"/>
        <w:adjustRightInd w:val="0"/>
        <w:jc w:val="center"/>
        <w:rPr>
          <w:lang w:val="en-US" w:eastAsia="en-US"/>
        </w:rPr>
      </w:pPr>
    </w:p>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 Identification of the substance/mixture and of the company/undertaking</w:t>
            </w:r>
          </w:p>
        </w:tc>
      </w:tr>
    </w:tbl>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1.1. Product identifier</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Code:</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AM100007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Product name</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SCREEN-SOL HS 900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0F503F">
            <w:pPr>
              <w:widowControl w:val="0"/>
              <w:autoSpaceDE w:val="0"/>
              <w:autoSpaceDN w:val="0"/>
              <w:adjustRightInd w:val="0"/>
              <w:jc w:val="center"/>
              <w:rPr>
                <w:lang w:val="en-US" w:eastAsia="en-US"/>
              </w:rPr>
            </w:pPr>
          </w:p>
        </w:tc>
      </w:tr>
    </w:tbl>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Intended use</w:t>
            </w:r>
          </w:p>
        </w:tc>
        <w:tc>
          <w:tcPr>
            <w:tcW w:w="8505"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Emulsione per stampa serigrafica</w:t>
            </w:r>
          </w:p>
        </w:tc>
      </w:tr>
    </w:tbl>
    <w:p w:rsidR="00000000" w:rsidRDefault="000F503F">
      <w:pPr>
        <w:widowControl w:val="0"/>
        <w:autoSpaceDE w:val="0"/>
        <w:autoSpaceDN w:val="0"/>
        <w:adjustRightInd w:val="0"/>
        <w:jc w:val="center"/>
        <w:rPr>
          <w:lang w:val="en-US" w:eastAsia="en-US"/>
        </w:rPr>
      </w:pPr>
    </w:p>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Name</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AMEX S.R.L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Full address</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VIALE DELLO SPORT 12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District and Country</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22070 APPIANO GENTILE (CO)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IT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Tel. 031931923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Fax 031933789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e-mail address of the competent person</w:t>
            </w:r>
          </w:p>
        </w:tc>
        <w:tc>
          <w:tcPr>
            <w:tcW w:w="6804"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responsible for the Safety Data Sheet</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melissa@amexsrl.it </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0F503F">
            <w:pPr>
              <w:widowControl w:val="0"/>
              <w:autoSpaceDE w:val="0"/>
              <w:autoSpaceDN w:val="0"/>
              <w:adjustRightInd w:val="0"/>
              <w:jc w:val="center"/>
              <w:rPr>
                <w:lang w:val="en-US" w:eastAsia="en-US"/>
              </w:rPr>
            </w:pPr>
          </w:p>
        </w:tc>
      </w:tr>
    </w:tbl>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1.4. Emergency telephone number</w:t>
            </w:r>
          </w:p>
        </w:tc>
      </w:tr>
      <w:tr w:rsidR="00000000">
        <w:tblPrEx>
          <w:tblCellMar>
            <w:top w:w="0" w:type="dxa"/>
            <w:bottom w:w="0" w:type="dxa"/>
          </w:tblCellMar>
        </w:tblPrEx>
        <w:tc>
          <w:tcPr>
            <w:tcW w:w="3969"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For urgent inquiries refer to</w:t>
            </w:r>
          </w:p>
        </w:tc>
        <w:tc>
          <w:tcPr>
            <w:tcW w:w="6804"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 xml:space="preserve">031931923                                                                                   Poison Control Center - Ospedale Niguarda - Milano - tel. 02/66101029 </w:t>
            </w:r>
          </w:p>
        </w:tc>
      </w:tr>
    </w:tbl>
    <w:p w:rsidR="00000000" w:rsidRDefault="000F503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2. Hazards identification</w:t>
            </w:r>
          </w:p>
        </w:tc>
      </w:tr>
    </w:tbl>
    <w:p w:rsidR="00000000" w:rsidRDefault="000F503F">
      <w:pPr>
        <w:widowControl w:val="0"/>
        <w:autoSpaceDE w:val="0"/>
        <w:autoSpaceDN w:val="0"/>
        <w:adjustRightInd w:val="0"/>
        <w:jc w:val="center"/>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2.1. Classification of the substance or mixture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is classified as hazardous pursuant to the provisions set forth in (EC) Regulation 1272/2008 (CLP) (and subsequent amendments and supplements). The product th</w:t>
      </w:r>
      <w:r>
        <w:rPr>
          <w:rFonts w:ascii="Arial" w:hAnsi="Arial"/>
          <w:color w:val="000000"/>
          <w:sz w:val="16"/>
          <w:lang w:val="en-US" w:eastAsia="en-US"/>
        </w:rPr>
        <w:t>us requires a safety datasheet that complies with the provisions of (EU) Regulation 2015/830.</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Any additional information concerning the risks for health and/or the environment are given in sections 11 and 12 of this sheet.</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 classification and indication:</w:t>
      </w:r>
    </w:p>
    <w:tbl>
      <w:tblPr>
        <w:tblW w:w="0" w:type="auto"/>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Hazardous to the aquatic environment, chronic toxicity, category 3</w:t>
            </w:r>
          </w:p>
        </w:tc>
        <w:tc>
          <w:tcPr>
            <w:tcW w:w="1701"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H412</w:t>
            </w:r>
          </w:p>
        </w:tc>
        <w:tc>
          <w:tcPr>
            <w:tcW w:w="4536"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Harmful to aquatic life with long lasting effects.</w:t>
            </w:r>
          </w:p>
        </w:tc>
      </w:tr>
      <w:tr w:rsidR="00000000">
        <w:tblPrEx>
          <w:tblCellMar>
            <w:top w:w="0" w:type="dxa"/>
            <w:bottom w:w="0" w:type="dxa"/>
          </w:tblCellMar>
        </w:tblPrEx>
        <w:tc>
          <w:tcPr>
            <w:tcW w:w="4536" w:type="dxa"/>
            <w:shd w:val="clear" w:color="auto" w:fill="FFFFFF"/>
          </w:tcPr>
          <w:p w:rsidR="00000000" w:rsidRDefault="000F503F">
            <w:pPr>
              <w:widowControl w:val="0"/>
              <w:autoSpaceDE w:val="0"/>
              <w:autoSpaceDN w:val="0"/>
              <w:adjustRightInd w:val="0"/>
              <w:jc w:val="both"/>
              <w:rPr>
                <w:lang w:val="en-US" w:eastAsia="en-US"/>
              </w:rPr>
            </w:pPr>
            <w:r>
              <w:rPr>
                <w:lang w:val="en-US" w:eastAsia="en-US"/>
              </w:rPr>
              <w:t xml:space="preserve"> </w:t>
            </w:r>
          </w:p>
        </w:tc>
        <w:tc>
          <w:tcPr>
            <w:tcW w:w="1701" w:type="dxa"/>
            <w:shd w:val="clear" w:color="auto" w:fill="FFFFFF"/>
          </w:tcPr>
          <w:p w:rsidR="00000000" w:rsidRDefault="000F503F">
            <w:pPr>
              <w:widowControl w:val="0"/>
              <w:autoSpaceDE w:val="0"/>
              <w:autoSpaceDN w:val="0"/>
              <w:adjustRightInd w:val="0"/>
              <w:jc w:val="both"/>
              <w:rPr>
                <w:lang w:val="en-US" w:eastAsia="en-US"/>
              </w:rPr>
            </w:pPr>
          </w:p>
        </w:tc>
        <w:tc>
          <w:tcPr>
            <w:tcW w:w="4536" w:type="dxa"/>
            <w:shd w:val="clear" w:color="auto" w:fill="FFFFFF"/>
          </w:tcPr>
          <w:p w:rsidR="00000000" w:rsidRDefault="000F503F">
            <w:pPr>
              <w:widowControl w:val="0"/>
              <w:autoSpaceDE w:val="0"/>
              <w:autoSpaceDN w:val="0"/>
              <w:adjustRightInd w:val="0"/>
              <w:jc w:val="both"/>
              <w:rPr>
                <w:lang w:val="en-US" w:eastAsia="en-US"/>
              </w:rPr>
            </w:pP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2.2. Label elements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 labelling pursuant to EC Regulation 1272/2008 (CLP) and subsequent amendments and supplements.</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Hazard pictograms:</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Signal words:</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 statements:</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H412</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Harmful to aquatic life with long lasting effects.</w:t>
            </w: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EUH208</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Contains:, REACTION MASS OF: 5-CHLORO-2-METHYL-4-ISOTHIAZOLIN-3-ONE [EC NO. 247-500-7] AND 2-METHYL-2H -ISOTHIAZOL-3-ONE [EC NO. 220-239-6] (3:1), N-METHYL-4-(p-FORMYLSTYRYL)PYRIDINIUM METHYLSULFA</w:t>
            </w:r>
            <w:r>
              <w:rPr>
                <w:rFonts w:ascii="Arial" w:hAnsi="Arial"/>
                <w:color w:val="000000"/>
                <w:sz w:val="16"/>
                <w:lang w:val="en-US" w:eastAsia="en-US"/>
              </w:rPr>
              <w:t>TE</w:t>
            </w: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jc w:val="both"/>
              <w:rPr>
                <w:lang w:val="en-US" w:eastAsia="en-US"/>
              </w:rPr>
            </w:pPr>
            <w:r>
              <w:rPr>
                <w:lang w:val="en-US" w:eastAsia="en-US"/>
              </w:rPr>
              <w:t xml:space="preserve"> </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May produce an allergic reaction.</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Precautionary statements:</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P273</w:t>
            </w:r>
          </w:p>
        </w:tc>
        <w:tc>
          <w:tcPr>
            <w:tcW w:w="878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Avoid release to the environment.</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2.3. Other hazards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does not contain any PBT or vPvB in percentage greater than 0,1%.</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3. Composition/information on ingredients</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3.2. Mixtures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Contains:</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Identification</w:t>
            </w:r>
          </w:p>
        </w:tc>
        <w:tc>
          <w:tcPr>
            <w:tcW w:w="1417"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x = Conc. %</w:t>
            </w: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b/>
                <w:color w:val="000000"/>
                <w:sz w:val="16"/>
                <w:lang w:val="en-US" w:eastAsia="en-US"/>
              </w:rPr>
              <w:t>Classification 1272/2008 (CLP)</w:t>
            </w: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 xml:space="preserve">DI(TRIMETHYLOLPROPANE) TETRAACRYLATE </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CAS   94108-97-1</w:t>
            </w:r>
          </w:p>
        </w:tc>
        <w:tc>
          <w:tcPr>
            <w:tcW w:w="141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 xml:space="preserve">7 </w:t>
            </w:r>
            <w:r>
              <w:rPr>
                <w:rFonts w:ascii="Arial" w:hAnsi="Arial"/>
                <w:color w:val="000000"/>
                <w:sz w:val="16"/>
                <w:lang w:val="en-US" w:eastAsia="en-US"/>
              </w:rPr>
              <w:t>≤</w:t>
            </w:r>
            <w:r>
              <w:rPr>
                <w:rFonts w:ascii="Arial" w:hAnsi="Arial"/>
                <w:color w:val="000000"/>
                <w:sz w:val="16"/>
                <w:lang w:val="en-US" w:eastAsia="en-US"/>
              </w:rPr>
              <w:t xml:space="preserve"> x &lt;  9</w:t>
            </w: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Eye Irrit. 2 H319, Aquatic Chronic 2 H411</w:t>
            </w: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   302-434-9</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INDEX   -</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N-METHYL-4-(p-FORMYLSTYRYL)PYRIDINIUM METHYLSULFATE</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CAS   74401-04-0</w:t>
            </w:r>
          </w:p>
        </w:tc>
        <w:tc>
          <w:tcPr>
            <w:tcW w:w="141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 xml:space="preserve">0,5 </w:t>
            </w:r>
            <w:r>
              <w:rPr>
                <w:rFonts w:ascii="Arial" w:hAnsi="Arial"/>
                <w:color w:val="000000"/>
                <w:sz w:val="16"/>
                <w:lang w:val="en-US" w:eastAsia="en-US"/>
              </w:rPr>
              <w:t>≤</w:t>
            </w:r>
            <w:r>
              <w:rPr>
                <w:rFonts w:ascii="Arial" w:hAnsi="Arial"/>
                <w:color w:val="000000"/>
                <w:sz w:val="16"/>
                <w:lang w:val="en-US" w:eastAsia="en-US"/>
              </w:rPr>
              <w:t xml:space="preserve"> x &lt;  0,6</w:t>
            </w: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Skin Sens. 1 H317, Aquatic Chronic 3 H412</w:t>
            </w: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   418-240-3</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INDEX   613-211-00-3</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REACTION MASS OF: 5-CHLORO-2-METHYL-4-ISOTHIAZOLIN-3-ONE [EC NO. 247-500-7] AND 2-METHYL-2H -ISOTHIAZOL-3-ONE [EC NO. 220-239-6] (3:1)</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CAS   55965-84-9</w:t>
            </w:r>
          </w:p>
        </w:tc>
        <w:tc>
          <w:tcPr>
            <w:tcW w:w="141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 xml:space="preserve">0 </w:t>
            </w:r>
            <w:r>
              <w:rPr>
                <w:rFonts w:ascii="Arial" w:hAnsi="Arial"/>
                <w:color w:val="000000"/>
                <w:sz w:val="16"/>
                <w:lang w:val="en-US" w:eastAsia="en-US"/>
              </w:rPr>
              <w:t>≤</w:t>
            </w:r>
            <w:r>
              <w:rPr>
                <w:rFonts w:ascii="Arial" w:hAnsi="Arial"/>
                <w:color w:val="000000"/>
                <w:sz w:val="16"/>
                <w:lang w:val="en-US" w:eastAsia="en-US"/>
              </w:rPr>
              <w:t xml:space="preserve"> x &lt;  0,0015</w:t>
            </w: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Acute Tox. 3 H301, Acute Tox. 3 H311, Acute Tox. 3 H331, Skin Corr. 1B H314, Eye Da</w:t>
            </w:r>
            <w:r>
              <w:rPr>
                <w:rFonts w:ascii="Arial" w:hAnsi="Arial"/>
                <w:color w:val="000000"/>
                <w:sz w:val="16"/>
                <w:lang w:val="en-US" w:eastAsia="en-US"/>
              </w:rPr>
              <w:t>m. 1 H318, Skin Sens. 1 H317, Aquatic Acute 1 H400 M=10, Aquatic Chronic 1 H410 M=1</w:t>
            </w: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   611-341-5</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INDEX   613-167-00-5</w:t>
            </w:r>
          </w:p>
        </w:tc>
        <w:tc>
          <w:tcPr>
            <w:tcW w:w="1417"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c>
          <w:tcPr>
            <w:tcW w:w="567"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full wording of hazard (H) phrases is given in section 16 of the sheet.</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4. First aid measures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4.1. Description of first aid measures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EYES: Remove contact lenses, if present. Wash immediately with plenty of water for at least 30-60 minutes, opening the eyelids fully. Get medical advice/attention.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SKIN: Remove contaminated clothing. Rinse skin with a shower immediately. Get medical advice</w:t>
      </w:r>
      <w:r>
        <w:rPr>
          <w:rFonts w:ascii="Arial" w:hAnsi="Arial"/>
          <w:color w:val="000000"/>
          <w:sz w:val="16"/>
          <w:lang w:val="en-US" w:eastAsia="en-US"/>
        </w:rPr>
        <w:t>/attention.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INGESTION: Have the subject drink as much water as possible. Get medical advice/attention. Do not induce vomiting unless explicitly authorised by a doctor.</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INHALATION: Get medical advice/attention immediately. Remove victim to fresh air, away f</w:t>
      </w:r>
      <w:r>
        <w:rPr>
          <w:rFonts w:ascii="Arial" w:hAnsi="Arial"/>
          <w:color w:val="000000"/>
          <w:sz w:val="16"/>
          <w:lang w:val="en-US" w:eastAsia="en-US"/>
        </w:rPr>
        <w:t>rom the accident scene. If the subject stops breathing, administer artificial respiration. Take suitable precautions for rescue workers.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4.2. Most important symptoms and effects, both acute and delayed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Specific information on symptoms and effects caused </w:t>
      </w:r>
      <w:r>
        <w:rPr>
          <w:rFonts w:ascii="Arial" w:hAnsi="Arial"/>
          <w:color w:val="000000"/>
          <w:sz w:val="16"/>
          <w:lang w:val="en-US" w:eastAsia="en-US"/>
        </w:rPr>
        <w:t>by the product are unknown.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4.3. Indication of any immediate medical attention and special treatment needed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5. Firefighting measures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5.1. Extinguishing media</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SU</w:t>
      </w:r>
      <w:r>
        <w:rPr>
          <w:rFonts w:ascii="Arial" w:hAnsi="Arial"/>
          <w:color w:val="000000"/>
          <w:sz w:val="16"/>
          <w:lang w:val="en-US" w:eastAsia="en-US"/>
        </w:rPr>
        <w:t>ITABLE EXTINGUISHING EQUIPMENT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extinguishing equipment should be of the conventional kind: carbon dioxide, foam, powder and water spray.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UNSUITABLE EXTINGUISHING EQUIPMENT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in particular.</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5.2. Special hazards arising from the substance or mixture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HAZARDS CAUSED BY EXPOSURE IN THE EVENT OF FIRE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Do not breathe combustion products.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5.3. Advice for firefighters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GENERAL INFORMATION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Use jets of water to cool the containers to prevent product decomposition and the development of substances potentially </w:t>
      </w:r>
      <w:r>
        <w:rPr>
          <w:rFonts w:ascii="Arial" w:hAnsi="Arial"/>
          <w:color w:val="000000"/>
          <w:sz w:val="16"/>
          <w:lang w:val="en-US" w:eastAsia="en-US"/>
        </w:rPr>
        <w:t>hazardous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w:t>
      </w:r>
      <w:r>
        <w:rPr>
          <w:rFonts w:ascii="Arial" w:hAnsi="Arial"/>
          <w:color w:val="000000"/>
          <w:sz w:val="16"/>
          <w:lang w:val="en-US" w:eastAsia="en-US"/>
        </w:rPr>
        <w:t>PECIAL PROTECTIVE EQUIPMENT FOR FIRE-FIGHTERS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Normal fire fighting clothing i.e. fire kit (BS EN 469), gloves (BS EN 659) and boots (HO specification A29 and A30) in combination with self-contained open circuit positive pressure compressed air breathing ap</w:t>
      </w:r>
      <w:r>
        <w:rPr>
          <w:rFonts w:ascii="Arial" w:hAnsi="Arial"/>
          <w:color w:val="000000"/>
          <w:sz w:val="16"/>
          <w:lang w:val="en-US" w:eastAsia="en-US"/>
        </w:rPr>
        <w:t>paratus (BS EN 137).</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6. Accidental release measures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6.1. Personal precautions, protective equipment and emergency procedures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Block the leakage if there is no hazard.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olor w:val="000000"/>
          <w:sz w:val="16"/>
          <w:lang w:val="en-US" w:eastAsia="en-US"/>
        </w:rPr>
        <w:t>involved in emergency procedures.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6.2. Environmental precautions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must not penetrate into the sewer system or come into contact with surface water or ground water.</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6.3. Methods and material for containment and cleaning up</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Collect the leaked </w:t>
      </w:r>
      <w:r>
        <w:rPr>
          <w:rFonts w:ascii="Arial" w:hAnsi="Arial"/>
          <w:color w:val="000000"/>
          <w:sz w:val="16"/>
          <w:lang w:val="en-US" w:eastAsia="en-US"/>
        </w:rPr>
        <w:t>product into a suitable container. Evaluate the compatibility of the container to be used, by checking section 10. Absorb the remainder with inert absorbent material.</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Make sure the leakage site is well aired. Contaminated material should be disposed of in </w:t>
      </w:r>
      <w:r>
        <w:rPr>
          <w:rFonts w:ascii="Arial" w:hAnsi="Arial"/>
          <w:color w:val="000000"/>
          <w:sz w:val="16"/>
          <w:lang w:val="en-US" w:eastAsia="en-US"/>
        </w:rPr>
        <w:t>compliance with the provisions set forth in point 13.</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6.4. Reference to other sections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Any information on personal protection and disposal is given in sections 8 and 13.</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7. Handling and storage</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7.1. Precautions for safe handling</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Keep away from heat, sparks and naked flames; do not smoke or use matches or lighters. Without adequate ventilation, vapours may accumulate at ground level and, if ignited, catch fire even at a distance, with the danger </w:t>
      </w:r>
      <w:r>
        <w:rPr>
          <w:rFonts w:ascii="Arial" w:hAnsi="Arial"/>
          <w:color w:val="000000"/>
          <w:sz w:val="16"/>
          <w:lang w:val="en-US" w:eastAsia="en-US"/>
        </w:rPr>
        <w:t>of backfire. Avoid bunching of electrostatic charges. In order to avoid the risk of fires and explosions, never use compressed air when handling. Open containers with caution as they may be pressurised.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7.2. Conditions for safe storage, including any inco</w:t>
      </w:r>
      <w:r>
        <w:rPr>
          <w:rFonts w:ascii="Arial" w:hAnsi="Arial"/>
          <w:b/>
          <w:color w:val="000000"/>
          <w:sz w:val="16"/>
          <w:lang w:val="en-US" w:eastAsia="en-US"/>
        </w:rPr>
        <w:t>mpatibilities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Store in a well ventilated place, keep far away from sources of heat, naked flames and sparks and other sources of ignition.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7.3. Specific end use(s)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8. Exposure controls/personal protection</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8.1. Control parameters</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5670"/>
        <w:gridCol w:w="1701"/>
        <w:gridCol w:w="1701"/>
        <w:gridCol w:w="1701"/>
      </w:tblGrid>
      <w:tr w:rsidR="00000000">
        <w:tblPrEx>
          <w:tblCellMar>
            <w:top w:w="0" w:type="dxa"/>
            <w:bottom w:w="0" w:type="dxa"/>
          </w:tblCellMar>
        </w:tblPrEx>
        <w:tc>
          <w:tcPr>
            <w:tcW w:w="10773" w:type="dxa"/>
            <w:gridSpan w:val="4"/>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 xml:space="preserve">DI(TRIMETHYLOLPROPANE) TETRAACRYLATE </w:t>
            </w: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D3D3D3"/>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Predicted no-effect concentration - PNEC</w:t>
            </w:r>
          </w:p>
        </w:tc>
        <w:tc>
          <w:tcPr>
            <w:tcW w:w="1701" w:type="dxa"/>
            <w:tcBorders>
              <w:top w:val="single" w:sz="6" w:space="0" w:color="auto"/>
              <w:bottom w:val="single" w:sz="6" w:space="0" w:color="auto"/>
            </w:tcBorders>
            <w:shd w:val="clear" w:color="auto" w:fill="D3D3D3"/>
          </w:tcPr>
          <w:p w:rsidR="00000000" w:rsidRDefault="000F503F">
            <w:pPr>
              <w:widowControl w:val="0"/>
              <w:autoSpaceDE w:val="0"/>
              <w:autoSpaceDN w:val="0"/>
              <w:adjustRightInd w:val="0"/>
              <w:rPr>
                <w:lang w:val="en-US" w:eastAsia="en-US"/>
              </w:rPr>
            </w:pPr>
          </w:p>
        </w:tc>
        <w:tc>
          <w:tcPr>
            <w:tcW w:w="1701" w:type="dxa"/>
            <w:tcBorders>
              <w:top w:val="single" w:sz="6" w:space="0" w:color="auto"/>
              <w:bottom w:val="single" w:sz="6" w:space="0" w:color="auto"/>
            </w:tcBorders>
            <w:shd w:val="clear" w:color="auto" w:fill="D3D3D3"/>
          </w:tcPr>
          <w:p w:rsidR="00000000" w:rsidRDefault="000F503F">
            <w:pPr>
              <w:widowControl w:val="0"/>
              <w:autoSpaceDE w:val="0"/>
              <w:autoSpaceDN w:val="0"/>
              <w:adjustRightInd w:val="0"/>
              <w:rPr>
                <w:lang w:val="en-US" w:eastAsia="en-US"/>
              </w:rPr>
            </w:pPr>
          </w:p>
        </w:tc>
        <w:tc>
          <w:tcPr>
            <w:tcW w:w="1701" w:type="dxa"/>
            <w:tcBorders>
              <w:top w:val="single" w:sz="6" w:space="0" w:color="auto"/>
              <w:bottom w:val="single" w:sz="6" w:space="0" w:color="auto"/>
            </w:tcBorders>
            <w:shd w:val="clear" w:color="auto" w:fill="D3D3D3"/>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in fresh water</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12</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mg/l</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in marine water</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12</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mg/l</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for fresh water sediment</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493</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mg/kg</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for marine water sediment</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493</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mg/kg</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for water, intermittent release</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12</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mg/l</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of STP microorganisms</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100</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mg/l</w:t>
            </w:r>
          </w:p>
        </w:tc>
        <w:tc>
          <w:tcPr>
            <w:tcW w:w="1701" w:type="dxa"/>
            <w:tcBorders>
              <w:top w:val="single" w:sz="6" w:space="0" w:color="auto"/>
              <w:bottom w:val="single" w:sz="6" w:space="0" w:color="auto"/>
            </w:tcBorders>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5670"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4"/>
                <w:lang w:val="en-US" w:eastAsia="en-US"/>
              </w:rPr>
              <w:t>Normal value for the terrestrial compartment</w:t>
            </w:r>
          </w:p>
        </w:tc>
        <w:tc>
          <w:tcPr>
            <w:tcW w:w="1701"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98</w:t>
            </w:r>
          </w:p>
        </w:tc>
        <w:tc>
          <w:tcPr>
            <w:tcW w:w="1701"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4"/>
                <w:lang w:val="en-US" w:eastAsia="en-US"/>
              </w:rPr>
              <w:t>mg/kg</w:t>
            </w:r>
          </w:p>
        </w:tc>
        <w:tc>
          <w:tcPr>
            <w:tcW w:w="1701"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VND = hazard identified but no DNEL/PNEC available   ;   NEA = no exposure expected   ;   NPI = no hazard identified.</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8.2. Exposure controls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As the use of adequate technical equipment must always take priority over personal protective equipment, make s</w:t>
      </w:r>
      <w:r>
        <w:rPr>
          <w:rFonts w:ascii="Arial" w:hAnsi="Arial"/>
          <w:color w:val="000000"/>
          <w:sz w:val="16"/>
          <w:lang w:val="en-US" w:eastAsia="en-US"/>
        </w:rPr>
        <w:t>ure that the workplace is well aired through effective local aspiration.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When choosing personal protective equipment, ask your chemical substance supplier for advice.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Personal protective equipment must be CE marked, showing that it complies with applicable</w:t>
      </w:r>
      <w:r>
        <w:rPr>
          <w:rFonts w:ascii="Arial" w:hAnsi="Arial"/>
          <w:color w:val="000000"/>
          <w:sz w:val="16"/>
          <w:lang w:val="en-US" w:eastAsia="en-US"/>
        </w:rPr>
        <w:t xml:space="preserve"> standards.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HAND PROTECTION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Protect hands with category III work gloves (see standard EN 374).</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following should be considered when choosing work glove material: compatibility, degradation, failure time and permeability.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The work gloves' resistance to chemical agents should be checked before use, as it can be unpredictable. The gloves' wear time </w:t>
      </w:r>
      <w:r>
        <w:rPr>
          <w:rFonts w:ascii="Arial" w:hAnsi="Arial"/>
          <w:color w:val="000000"/>
          <w:sz w:val="16"/>
          <w:lang w:val="en-US" w:eastAsia="en-US"/>
        </w:rPr>
        <w:t>depends on the duration and type of use.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SKIN PROTECTION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Wear category I professional long-sleeved overalls and safety footwear (see Regulation 2016/425 and standard EN ISO 20344). Wash body with soap and water after removing protective clothing.</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EYE PROTECTION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Wear airtight protective goggles (see standard EN 166).</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RESPIRATORY PROTECTION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If the threshold value (e.g. TLV-TWA) is exceeded for the substance or one of the substances present in the product, use a mask with a type B filter whose class </w:t>
      </w:r>
      <w:r>
        <w:rPr>
          <w:rFonts w:ascii="Arial" w:hAnsi="Arial"/>
          <w:color w:val="000000"/>
          <w:sz w:val="16"/>
          <w:lang w:val="en-US" w:eastAsia="en-US"/>
        </w:rPr>
        <w:t>(1, 2 or 3) must be chosen according to the limit of use concentration. (see standard EN 14387). In the presence of gases or vapours of various kinds and/or gases or vapours containing particulate (aerosol sprays, fumes, mists, etc.) combined filters are r</w:t>
      </w:r>
      <w:r>
        <w:rPr>
          <w:rFonts w:ascii="Arial" w:hAnsi="Arial"/>
          <w:color w:val="000000"/>
          <w:sz w:val="16"/>
          <w:lang w:val="en-US" w:eastAsia="en-US"/>
        </w:rPr>
        <w:t>equired.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Respiratory protection devices must be used if the technical measures adopted are not suitable for restricting the worker's exposure to the threshold values considered. The protection provided by masks is in any case limited.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If the substance cons</w:t>
      </w:r>
      <w:r>
        <w:rPr>
          <w:rFonts w:ascii="Arial" w:hAnsi="Arial"/>
          <w:color w:val="000000"/>
          <w:sz w:val="16"/>
          <w:lang w:val="en-US" w:eastAsia="en-US"/>
        </w:rPr>
        <w:t>idered is odourless or its olfactory threshold is higher than the corresponding TLV-TWA and in the case of an emergency, wear open-circuit compressed air breathing apparatus (in compliance with standard EN 137) or external air-intake breathing apparatus (i</w:t>
      </w:r>
      <w:r>
        <w:rPr>
          <w:rFonts w:ascii="Arial" w:hAnsi="Arial"/>
          <w:color w:val="000000"/>
          <w:sz w:val="16"/>
          <w:lang w:val="en-US" w:eastAsia="en-US"/>
        </w:rPr>
        <w:t>n compliance with standard EN 138). For a correct choice of respiratory protection device, see standard EN 529.</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ENVIRONMENTAL EXPOSURE CONTROLS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emissions generated by manufacturing processes, including those generated by ventilation equipment, should</w:t>
      </w:r>
      <w:r>
        <w:rPr>
          <w:rFonts w:ascii="Arial" w:hAnsi="Arial"/>
          <w:color w:val="000000"/>
          <w:sz w:val="16"/>
          <w:lang w:val="en-US" w:eastAsia="en-US"/>
        </w:rPr>
        <w:t xml:space="preserve"> be checked to ensure compliance with environmental standards.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Product residues must not be indiscriminately disposed of with waste water or by dumping in waterways.</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9. Physical and chemical properties</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9.1. Information on basic physical and chemical properties</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2268"/>
        <w:gridCol w:w="3402"/>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Appearance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viscous liquid</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Colour</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blue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Odour</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mild</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Odour threshold</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pH</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Melting point / freezing point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Initial boiling point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Boiling range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Flash point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&gt; 100 °C</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Evaporation Rate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Flammability of solids and gases</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Lower inflammability limit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Upper inflammability limit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Lower explosive limit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Upper explosive limit</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Vapour pressure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Vapour density</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Relative density</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Solubility</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water thinnable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Partition coefficient: n-octanol/water</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Auto-ignition temperature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Decomposition temperature</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Viscosity</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Explosive properties</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Oxidising properties</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9.2. Other information</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2268"/>
        <w:gridCol w:w="3402"/>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Total solids (250°C / 482°F)</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37,08 %</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VOC (Directive 2010/75/EC) :</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0,12 %</w:t>
            </w:r>
          </w:p>
        </w:tc>
        <w:tc>
          <w:tcPr>
            <w:tcW w:w="3402"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VOC (volatile carbon) :</w:t>
            </w:r>
          </w:p>
        </w:tc>
        <w:tc>
          <w:tcPr>
            <w:tcW w:w="2268"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0,06 %</w:t>
            </w:r>
          </w:p>
        </w:tc>
        <w:tc>
          <w:tcPr>
            <w:tcW w:w="3402"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10. Stability and reactivity</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10.1. Reactivity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may react exothermically on contact with strong oxidising or reducing agents, strong acids or bases.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10.2. Chemical stability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Excessively high temperatures can cause thermal decomposition.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10.3. Possibility of hazardous reactions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See paragraph 10.1.</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10.4. Conditions to avoid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Avoid overheating.</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10.5. Incompatible materials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Oxidising or reducing agents. Strong acids or bases.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10.6. Hazardous decomposition products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 the event of thermal decomposition or fire, gases and vapours that are potentially dangerous to health may be released.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11. Toxicological informatio</w:t>
            </w:r>
            <w:r>
              <w:rPr>
                <w:rFonts w:ascii="Arial" w:hAnsi="Arial"/>
                <w:b/>
                <w:color w:val="000000"/>
                <w:sz w:val="22"/>
                <w:lang w:val="en-US" w:eastAsia="en-US"/>
              </w:rPr>
              <w:t>n</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 the absence of experimental data for the product itself, health hazards are evaluated according to the properties of the substances it contains, using the criteria specified in the applicable regulation for classification.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It is therefore necessary to t</w:t>
      </w:r>
      <w:r>
        <w:rPr>
          <w:rFonts w:ascii="Arial" w:hAnsi="Arial"/>
          <w:color w:val="000000"/>
          <w:sz w:val="16"/>
          <w:lang w:val="en-US" w:eastAsia="en-US"/>
        </w:rPr>
        <w:t>ake into account the concentration of the individual hazardous substances indicated in section 3, to evaluate the toxicological effects of exposure to the product.</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11.1. Information on toxicological effects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Metabolism, toxicokinetics, mechanism of action</w:t>
      </w:r>
      <w:r>
        <w:rPr>
          <w:rFonts w:ascii="Arial" w:hAnsi="Arial"/>
          <w:color w:val="000000"/>
          <w:sz w:val="16"/>
          <w:u w:val="single"/>
          <w:lang w:val="en-US" w:eastAsia="en-US"/>
        </w:rPr>
        <w:t xml:space="preserve"> and other information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Information on likely routes of exposure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Delayed and immediate effects as well as chronic effects from short and long-term exposure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Interactive effec</w:t>
      </w:r>
      <w:r>
        <w:rPr>
          <w:rFonts w:ascii="Arial" w:hAnsi="Arial"/>
          <w:color w:val="000000"/>
          <w:sz w:val="16"/>
          <w:u w:val="single"/>
          <w:lang w:val="en-US" w:eastAsia="en-US"/>
        </w:rPr>
        <w:t>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ACUTE TOXICITY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LC50 (Inhalation) of the mixture: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LD50 (Oral) of the mixture: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LD50 (Dermal) of the mixture: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REACTION MASS OF: 5-CHLORO-2-METHYL-4-ISOTHIAZOLIN-3-ONE [EC NO. 247-500-7] AND 2-METHYL-2H -ISOTHIAZOL-3-ONE [EC NO. 220-239-6] (3:1)</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LD50 (Oral) 1665 mg/kg ratto</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LD50 (Dermal) &gt; 2000 mg/kg ratto</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LC50 (Inhala</w:t>
      </w:r>
      <w:r>
        <w:rPr>
          <w:rFonts w:ascii="Arial" w:hAnsi="Arial"/>
          <w:color w:val="000000"/>
          <w:sz w:val="16"/>
          <w:lang w:val="en-US" w:eastAsia="en-US"/>
        </w:rPr>
        <w:t>tion) 1,98 mg/l ratto</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N-METHYL-4-(p-FORMYLSTYRYL)PYRIDINIUM METHYLSULFATE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LD50 (Oral) &gt; 2000 mg/KGg ratto</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LD50 (Dermal) &gt; 2000 mg/kg coniglio</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SKIN CORROSION / IRRITATION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SERIOUS EYE DAMAGE / IRRITATION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RESPIRATORY OR SKIN SENSITISATION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May produce an allergic reaction.Contains:REACTION MASS OF: 5-CHLORO-2-METHYL-4-ISOTHIAZOLIN-3-ONE [EC NO. 247-500-7] AND 2-METHYL-2H -ISOTHIAZOL-3-ONE [EC NO. 220-239-6] (3:1)</w:t>
      </w: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N-METHYL-4-(p-FORMYLSTYRYL)PYRIDINIUM METHYLSULFATE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GERM CELL MUTAGENICITY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w:t>
      </w:r>
      <w:r>
        <w:rPr>
          <w:rFonts w:ascii="Arial" w:hAnsi="Arial"/>
          <w:color w:val="000000"/>
          <w:sz w:val="16"/>
          <w:lang w:val="en-US" w:eastAsia="en-US"/>
        </w:rPr>
        <w:t>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CARCINOGENICITY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REPRODUCTIVE TOXICITY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STOT - SINGLE EXPOSURE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STOT - REPEATED EXPOSURE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u w:val="single"/>
          <w:lang w:val="en-US" w:eastAsia="en-US"/>
        </w:rPr>
        <w:t>ASPIRATION HAZARD</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12. Ecological information</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This product is dangerous for the environment and the aquatic organisms. In the long term, it have negative effects on aquatic environment.</w:t>
      </w: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12.1. Toxici</w:t>
      </w:r>
      <w:r>
        <w:rPr>
          <w:rFonts w:ascii="Arial" w:hAnsi="Arial"/>
          <w:b/>
          <w:color w:val="000000"/>
          <w:sz w:val="16"/>
          <w:lang w:val="en-US" w:eastAsia="en-US"/>
        </w:rPr>
        <w:t>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REACTION MASS OF: 5-CHLORO-2-METHYL-4-ISOTHIAZOLIN-3-ONE [EC NO. 247-500-7] AND 2-METHYL-2H -ISOTHIAZOL-3-ONE [EC NO. 220-239-6] (3:1)</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LC50 - for Fish</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0,22 mg/l/96h Oncorhynchus mykiss</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EC50 - for Crustacea</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0,12 mg/l/48h Daphnia magna</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EC50 - for Algae / Aquatic Plants</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0,048 mg/l/72h Pseudokirchneriella sucapitata</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Chronic NOEC for Fish</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0,098 mg/l</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Chronic NOEC for Crustacea</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0,004 mg/l</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Chronic NOEC for Algae / Aquatic Plants</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0,0012 mg/l</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N-METHYL-4-(p-FORMYLSTYRYL)PYRIDINIUM METHYLSULFATE</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LC50 - for Fish</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&gt; 100 mg/l/96h pesce</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EC50 - for Crustacea</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11 mg/l/48h Daphnia magna</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 xml:space="preserve">DI(TRIMETHYLOLPROPANE) TETRAACRYLATE </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LC50 - for Fish</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12 mg/l/96h Cyprinus carpio</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EC50 - for Crustacea</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&gt; 10 mg/l/48h Daphnia magna</w:t>
            </w:r>
          </w:p>
        </w:tc>
      </w:tr>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EC50 - for Algae / Aquatic Plants</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12 mg/l/72h pseudokirchneriella subcapitata</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12.2. Persistence and degradability</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REACTION MASS OF: 5-CHLORO-2-METHYL-4-ISOTHIAZOLIN-3-ONE [EC NO. 247-500-7] AND 2-METHYL-2H -ISOTHIAZOL-3-ONE [EC NO. 220-239-6] (3:1)</w:t>
            </w:r>
          </w:p>
        </w:tc>
        <w:tc>
          <w:tcPr>
            <w:tcW w:w="1134" w:type="dxa"/>
            <w:shd w:val="clear" w:color="auto" w:fill="FFFFFF"/>
          </w:tcPr>
          <w:p w:rsidR="00000000" w:rsidRDefault="000F503F">
            <w:pPr>
              <w:widowControl w:val="0"/>
              <w:autoSpaceDE w:val="0"/>
              <w:autoSpaceDN w:val="0"/>
              <w:adjustRightInd w:val="0"/>
              <w:rPr>
                <w:lang w:val="en-US" w:eastAsia="en-US"/>
              </w:rPr>
            </w:pPr>
          </w:p>
        </w:tc>
        <w:tc>
          <w:tcPr>
            <w:tcW w:w="5670"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Rapidly degradable</w:t>
      </w: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12.3. Bioaccumulative potential</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w:t>
      </w:r>
      <w:r>
        <w:rPr>
          <w:rFonts w:ascii="Arial" w:hAnsi="Arial"/>
          <w:color w:val="000000"/>
          <w:sz w:val="16"/>
          <w:lang w:val="en-US" w:eastAsia="en-US"/>
        </w:rPr>
        <w:t>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12.4. Mobility in soil</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12.5. Results of PBT and vPvB assessment</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does not contain any PBT or vPvB in percentage greater than 0,1%.</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12.6. Other adverse effects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13. Disposal considerations</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13.1. Waste treatment methods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Reuse, when possi</w:t>
      </w:r>
      <w:r>
        <w:rPr>
          <w:rFonts w:ascii="Arial" w:hAnsi="Arial"/>
          <w:color w:val="000000"/>
          <w:sz w:val="16"/>
          <w:lang w:val="en-US" w:eastAsia="en-US"/>
        </w:rPr>
        <w:t>ble. Product residues should be considered special hazardous waste. The hazard level of waste containing this product should be evaluated according to applicable regulations.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Disposal must be performed through an authorised waste management firm, in compli</w:t>
      </w:r>
      <w:r>
        <w:rPr>
          <w:rFonts w:ascii="Arial" w:hAnsi="Arial"/>
          <w:color w:val="000000"/>
          <w:sz w:val="16"/>
          <w:lang w:val="en-US" w:eastAsia="en-US"/>
        </w:rPr>
        <w:t>ance with national and local regulations.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CONTAMINATED PACKAGING </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Contaminated packaging must be recovered or disposed of in compliance with national waste management regulations.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14. Transport information</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olor w:val="000000"/>
          <w:sz w:val="16"/>
          <w:lang w:val="en-US" w:eastAsia="en-US"/>
        </w:rPr>
        <w:t>ATA) regulations.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14.1. UN number</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14.2. UN proper shipping name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14.3. Transport hazard class(es)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14.4. Packing group</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14.5. Environmental hazards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14.6. Special precautions for user</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14.7. Transport in bulk according to Annex II of MARPOL73/78 and the IBC Code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relevant</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15. Regulatory information</w:t>
            </w:r>
          </w:p>
        </w:tc>
      </w:tr>
    </w:tbl>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15.1. Safety, health and environmental regulations/legislation specific for the substance or mixture</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Seveso Category - Directive 2012/18/EC: None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Restrictions relating to the product or contained substances pursuant to Annex XVII to EC Regulation 1907/2</w:t>
      </w:r>
      <w:r>
        <w:rPr>
          <w:rFonts w:ascii="Arial" w:hAnsi="Arial"/>
          <w:color w:val="000000"/>
          <w:sz w:val="16"/>
          <w:u w:val="single"/>
          <w:lang w:val="en-US" w:eastAsia="en-US"/>
        </w:rPr>
        <w:t>006</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Product</w:t>
      </w:r>
    </w:p>
    <w:tbl>
      <w:tblPr>
        <w:tblW w:w="0" w:type="auto"/>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Point</w:t>
            </w:r>
          </w:p>
        </w:tc>
        <w:tc>
          <w:tcPr>
            <w:tcW w:w="1701"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3 - 40</w:t>
            </w:r>
          </w:p>
        </w:tc>
        <w:tc>
          <w:tcPr>
            <w:tcW w:w="1701"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in Candidate List (Art. 59 REACH)</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does not contain any SVHC in percentage greater than 0,1%.</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authorisation (Annex XIV REACH)</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exportation reporting pursuant to (EC) Reg. 649/2012:</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w:t>
      </w:r>
      <w:r>
        <w:rPr>
          <w:rFonts w:ascii="Arial" w:hAnsi="Arial"/>
          <w:color w:val="000000"/>
          <w:sz w:val="16"/>
          <w:u w:val="single"/>
          <w:lang w:val="en-US" w:eastAsia="en-US"/>
        </w:rPr>
        <w:t>es subject to the Rotterdam Convention: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the Stockholm Convention: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Healthcare controls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15.2. Chemical safety assessment</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 chemical safety assessment has not been performed for the preparation/for the substances indicated in section 3.</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16. Other information</w:t>
            </w: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Text of hazard (H) indications mentioned in section 2-3 of the sheet:</w:t>
      </w:r>
    </w:p>
    <w:p w:rsidR="00000000" w:rsidRDefault="000F503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Acute Tox. 3</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Acute toxicity, category 3</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Skin Corr. 1B</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Skin corrosion, category 1B</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Eye Irrit. 2</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Eye irritation, category 2</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Skin Sens. 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Skin sensitization, category 1</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Aquatic Acute 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Hazardous to the aquatic environment, acute toxicity, category 1</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Aquatic Chronic 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Hazardous to the aquatic environment, chronic toxicity, category 1</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Aquatic Chronic 2</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Hazardous to the aquatic environment, chronic toxicity, category 2</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Aquatic Chronic 3</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Hazardous to the aquatic environment, chronic toxicity, category 3</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H301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Toxic</w:t>
            </w:r>
            <w:r>
              <w:rPr>
                <w:rFonts w:ascii="Arial" w:hAnsi="Arial"/>
                <w:color w:val="000000"/>
                <w:sz w:val="16"/>
                <w:lang w:val="en-US" w:eastAsia="en-US"/>
              </w:rPr>
              <w:t xml:space="preserve"> if swallowed.</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H311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Toxic in contact with skin.</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H331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Toxic if inhaled.</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H314</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Causes severe skin burns and eye damage.</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H319</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Causes serious eye irritation.</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H317</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May cause an allergic skin reaction.</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H400</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Very toxic to aquatic life.</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H410</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Very toxic to aquatic life with long lasting effects.</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H411</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Toxic to aquatic life with long lasting effects.</w:t>
            </w:r>
          </w:p>
        </w:tc>
        <w:tc>
          <w:tcPr>
            <w:tcW w:w="850" w:type="dxa"/>
            <w:shd w:val="clear" w:color="auto" w:fill="FFFFFF"/>
          </w:tcPr>
          <w:p w:rsidR="00000000" w:rsidRDefault="000F503F">
            <w:pPr>
              <w:widowControl w:val="0"/>
              <w:autoSpaceDE w:val="0"/>
              <w:autoSpaceDN w:val="0"/>
              <w:adjustRightInd w:val="0"/>
              <w:rPr>
                <w:lang w:val="en-US" w:eastAsia="en-US"/>
              </w:rPr>
            </w:pPr>
          </w:p>
        </w:tc>
      </w:tr>
      <w:tr w:rsidR="00000000">
        <w:tblPrEx>
          <w:tblCellMar>
            <w:top w:w="0" w:type="dxa"/>
            <w:bottom w:w="0" w:type="dxa"/>
          </w:tblCellMar>
        </w:tblPrEx>
        <w:tc>
          <w:tcPr>
            <w:tcW w:w="1984" w:type="dxa"/>
            <w:shd w:val="clear" w:color="auto" w:fill="FFFFFF"/>
          </w:tcPr>
          <w:p w:rsidR="00000000" w:rsidRDefault="000F503F">
            <w:pPr>
              <w:widowControl w:val="0"/>
              <w:autoSpaceDE w:val="0"/>
              <w:autoSpaceDN w:val="0"/>
              <w:adjustRightInd w:val="0"/>
              <w:rPr>
                <w:lang w:val="en-US" w:eastAsia="en-US"/>
              </w:rPr>
            </w:pPr>
            <w:r>
              <w:rPr>
                <w:lang w:val="en-US" w:eastAsia="en-US"/>
              </w:rPr>
              <w:t xml:space="preserve"> </w:t>
            </w:r>
            <w:r>
              <w:rPr>
                <w:rFonts w:ascii="Arial" w:hAnsi="Arial"/>
                <w:b/>
                <w:color w:val="000000"/>
                <w:sz w:val="14"/>
                <w:lang w:val="en-US" w:eastAsia="en-US"/>
              </w:rPr>
              <w:t>H412</w:t>
            </w:r>
          </w:p>
        </w:tc>
        <w:tc>
          <w:tcPr>
            <w:tcW w:w="6237" w:type="dxa"/>
            <w:shd w:val="clear" w:color="auto" w:fill="FFFFFF"/>
          </w:tcPr>
          <w:p w:rsidR="00000000" w:rsidRDefault="000F503F">
            <w:pPr>
              <w:widowControl w:val="0"/>
              <w:autoSpaceDE w:val="0"/>
              <w:autoSpaceDN w:val="0"/>
              <w:adjustRightInd w:val="0"/>
              <w:rPr>
                <w:lang w:val="en-US" w:eastAsia="en-US"/>
              </w:rPr>
            </w:pPr>
            <w:r>
              <w:rPr>
                <w:rFonts w:ascii="Arial" w:hAnsi="Arial"/>
                <w:color w:val="000000"/>
                <w:sz w:val="16"/>
                <w:lang w:val="en-US" w:eastAsia="en-US"/>
              </w:rPr>
              <w:t>Harmful to aquatic life with long lasting effects.</w:t>
            </w:r>
          </w:p>
        </w:tc>
        <w:tc>
          <w:tcPr>
            <w:tcW w:w="850" w:type="dxa"/>
            <w:shd w:val="clear" w:color="auto" w:fill="FFFFFF"/>
          </w:tcPr>
          <w:p w:rsidR="00000000" w:rsidRDefault="000F503F">
            <w:pPr>
              <w:widowControl w:val="0"/>
              <w:autoSpaceDE w:val="0"/>
              <w:autoSpaceDN w:val="0"/>
              <w:adjustRightInd w:val="0"/>
              <w:rPr>
                <w:lang w:val="en-US" w:eastAsia="en-US"/>
              </w:rPr>
            </w:pPr>
          </w:p>
        </w:tc>
      </w:tr>
    </w:tbl>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LEGEND: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ADR: European Agreement concerning the carriage of Dangerous goods by Road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CAS NUMBER: Chemical Abstract Service Number </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CE50: Effective concentration (required to induce a 50% effect)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CE NUMBER: Identifier in ESIS (European archive of existing sub</w:t>
      </w:r>
      <w:r>
        <w:rPr>
          <w:rFonts w:ascii="Arial" w:hAnsi="Arial"/>
          <w:color w:val="000000"/>
          <w:sz w:val="16"/>
          <w:lang w:val="en-US" w:eastAsia="en-US"/>
        </w:rPr>
        <w:t>stances)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CLP: EC Regulation 1272/2008</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DNEL: Derived No Effect Level</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EmS: Emergency Schedule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GHS: Globally Harmonized System of classification and labeling of chemicals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IATA DGR: International Air Transport Association Dangerous Goods Regulation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w:t>
      </w:r>
      <w:r>
        <w:rPr>
          <w:rFonts w:ascii="Arial" w:hAnsi="Arial"/>
          <w:color w:val="000000"/>
          <w:sz w:val="16"/>
          <w:lang w:val="en-US" w:eastAsia="en-US"/>
        </w:rPr>
        <w:t xml:space="preserve"> IC50: Immobilization Concentration 50% </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IMDG: International Maritime Code for dangerous goods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IMO: International Maritime Organization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INDEX NUMBER: Identifier in Annex VI of CLP</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LC50: Lethal Concentration 50%</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LD50: Lethal dose 50%</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OEL: Occupa</w:t>
      </w:r>
      <w:r>
        <w:rPr>
          <w:rFonts w:ascii="Arial" w:hAnsi="Arial"/>
          <w:color w:val="000000"/>
          <w:sz w:val="16"/>
          <w:lang w:val="en-US" w:eastAsia="en-US"/>
        </w:rPr>
        <w:t>tional Exposure Level</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PBT: Persistent bioaccumulative and toxic as REACH Regulation </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PEC: Predicted environmental Concentration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PEL: Predicted exposure level</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PNEC: Predicted no effect concentration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REACH: EC Regulation 1907/2006 </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RID: Regulatio</w:t>
      </w:r>
      <w:r>
        <w:rPr>
          <w:rFonts w:ascii="Arial" w:hAnsi="Arial"/>
          <w:color w:val="000000"/>
          <w:sz w:val="16"/>
          <w:lang w:val="en-US" w:eastAsia="en-US"/>
        </w:rPr>
        <w:t>n concerning the international transport of dangerous goods by train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TLV: Threshold Limit Value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TLV CEILING: Concentration that should not be exceeded during any time of occupational exposure.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TWA STEL: Short-term exposure limit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TWA: Time-weighted </w:t>
      </w:r>
      <w:r>
        <w:rPr>
          <w:rFonts w:ascii="Arial" w:hAnsi="Arial"/>
          <w:color w:val="000000"/>
          <w:sz w:val="16"/>
          <w:lang w:val="en-US" w:eastAsia="en-US"/>
        </w:rPr>
        <w:t>average exposure limit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VOC: Volatile organic Compounds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vPvB: Very Persistent and very Bioaccumulative as for REACH Regulation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WGK: Water hazard classes (German).</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GENERAL BIBLIOGRAPHY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 Regulation (EC) 1907/2006 (REACH)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2. Regulation (EC) 1272/2008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3. Regulation (EU) 790/2009 (I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4. Regulation (EU) 2015/830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5. Regu</w:t>
      </w:r>
      <w:r>
        <w:rPr>
          <w:rFonts w:ascii="Arial" w:hAnsi="Arial"/>
          <w:color w:val="000000"/>
          <w:sz w:val="16"/>
          <w:lang w:val="en-US" w:eastAsia="en-US"/>
        </w:rPr>
        <w:t>lation (EU) 286/2011 (II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6. Regulation (EU) 618/2012 (III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7. Regulation (EU) 487/2013 (IV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8. Regulation (EU) 944/2013 (V Atp. CLP) of the Europea</w:t>
      </w:r>
      <w:r>
        <w:rPr>
          <w:rFonts w:ascii="Arial" w:hAnsi="Arial"/>
          <w:color w:val="000000"/>
          <w:sz w:val="16"/>
          <w:lang w:val="en-US" w:eastAsia="en-US"/>
        </w:rPr>
        <w:t>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9. Regulation (EU) 605/2014 (VI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10. Regulation (EU) 2015/1221 (VII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11. Regulation (EU) 2016/918 (VIII Atp. CLP) of the European Parliament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12. Regulation (EU) 2016/1179 </w:t>
      </w:r>
      <w:r>
        <w:rPr>
          <w:rFonts w:ascii="Arial" w:hAnsi="Arial"/>
          <w:color w:val="000000"/>
          <w:sz w:val="16"/>
          <w:lang w:val="en-US" w:eastAsia="en-US"/>
        </w:rPr>
        <w:t>(IX Atp. CLP)</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13. Regulation (EU) 2017/776 (X Atp. CLP)</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14. Regulation (EU) 2018/1480 (XIII Atp. CLP)</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The Merck Index. - 10th Edition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Handling Chemical Safety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INRS - Fiche Toxicologique (toxicological sheet)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Patty - Industrial Hygiene and Toxicolog</w:t>
      </w:r>
      <w:r>
        <w:rPr>
          <w:rFonts w:ascii="Arial" w:hAnsi="Arial"/>
          <w:color w:val="000000"/>
          <w:sz w:val="16"/>
          <w:lang w:val="en-US" w:eastAsia="en-US"/>
        </w:rPr>
        <w:t>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N.I. Sax - Dangerous properties of Industrial Materials-7, 1989 Edition</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IFA GESTIS website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ECHA website</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Database of SDS models for chemicals - Ministry of Health and ISS (Istituto Superiore di Sanità) - Italy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Note for users: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information contained in the present sheet are based on our own knowledge on the date of the last version. Users must verify the suitability and thoroughness of provided information according to each specific use of the product.</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This document must not </w:t>
      </w:r>
      <w:r>
        <w:rPr>
          <w:rFonts w:ascii="Arial" w:hAnsi="Arial"/>
          <w:color w:val="000000"/>
          <w:sz w:val="16"/>
          <w:lang w:val="en-US" w:eastAsia="en-US"/>
        </w:rPr>
        <w:t>be regarded as a guarantee on any specific product property.</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use of this product is not subject to our direct control; therefore, users must, under their own responsibility, comply with the current health and safety laws and regulations. The producer i</w:t>
      </w:r>
      <w:r>
        <w:rPr>
          <w:rFonts w:ascii="Arial" w:hAnsi="Arial"/>
          <w:color w:val="000000"/>
          <w:sz w:val="16"/>
          <w:lang w:val="en-US" w:eastAsia="en-US"/>
        </w:rPr>
        <w:t>s relieved from any liability arising from improper uses.</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Provide appointed staff with adequate training on how to use chemical products.</w:t>
      </w:r>
    </w:p>
    <w:p w:rsidR="00000000" w:rsidRDefault="000F503F">
      <w:pPr>
        <w:widowControl w:val="0"/>
        <w:autoSpaceDE w:val="0"/>
        <w:autoSpaceDN w:val="0"/>
        <w:adjustRightInd w:val="0"/>
        <w:jc w:val="both"/>
        <w:rPr>
          <w:lang w:val="en-US" w:eastAsia="en-US"/>
        </w:rPr>
      </w:pP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Changes to previous review:</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following sections were modified:</w:t>
      </w:r>
    </w:p>
    <w:p w:rsidR="00000000" w:rsidRDefault="000F503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03 / 09 / 10 / 11 / 12 / 13 / 15.</w:t>
      </w:r>
    </w:p>
    <w:sectPr w:rsidR="00000000" w:rsidSect="001C5724">
      <w:headerReference w:type="default" r:id="rId6"/>
      <w:footerReference w:type="default" r:id="rId7"/>
      <w:headerReference w:type="first" r:id="rId8"/>
      <w:pgSz w:w="11904" w:h="16834"/>
      <w:pgMar w:top="2030" w:right="522" w:bottom="2030" w:left="52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503F">
      <w:r>
        <w:separator/>
      </w:r>
    </w:p>
  </w:endnote>
  <w:endnote w:type="continuationSeparator" w:id="0">
    <w:p w:rsidR="00000000" w:rsidRDefault="000F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503F">
    <w:r>
      <w:rPr>
        <w:noProof/>
      </w:rPr>
      <mc:AlternateContent>
        <mc:Choice Requires="wps">
          <w:drawing>
            <wp:anchor distT="0" distB="0" distL="114300" distR="114300" simplePos="0" relativeHeight="251665408"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4A83" id="Lin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503F">
      <w:r>
        <w:separator/>
      </w:r>
    </w:p>
  </w:footnote>
  <w:footnote w:type="continuationSeparator" w:id="0">
    <w:p w:rsidR="00000000" w:rsidRDefault="000F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70" w:type="dxa"/>
        <w:right w:w="70" w:type="dxa"/>
      </w:tblCellMar>
      <w:tblLook w:val="0000" w:firstRow="0" w:lastRow="0" w:firstColumn="0" w:lastColumn="0" w:noHBand="0" w:noVBand="0"/>
    </w:tblPr>
    <w:tblGrid>
      <w:gridCol w:w="2551"/>
      <w:gridCol w:w="5727"/>
      <w:gridCol w:w="2721"/>
    </w:tblGrid>
    <w:tr w:rsidR="00000000">
      <w:tblPrEx>
        <w:tblCellMar>
          <w:top w:w="0" w:type="dxa"/>
          <w:bottom w:w="0" w:type="dxa"/>
        </w:tblCellMar>
      </w:tblPrEx>
      <w:tc>
        <w:tcPr>
          <w:tcW w:w="8278" w:type="dxa"/>
          <w:gridSpan w:val="2"/>
          <w:tcBorders>
            <w:top w:val="single" w:sz="6" w:space="0" w:color="auto"/>
            <w:left w:val="single" w:sz="6" w:space="0" w:color="auto"/>
          </w:tcBorders>
          <w:shd w:val="clear" w:color="auto" w:fill="FFFFFF"/>
        </w:tcPr>
        <w:p w:rsidR="00000000" w:rsidRDefault="000F503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Revision nr. 11</w:t>
          </w:r>
        </w:p>
      </w:tc>
    </w:tr>
    <w:tr w:rsidR="00000000">
      <w:tblPrEx>
        <w:tblCellMar>
          <w:top w:w="0" w:type="dxa"/>
          <w:bottom w:w="0" w:type="dxa"/>
        </w:tblCellMar>
      </w:tblPrEx>
      <w:tc>
        <w:tcPr>
          <w:tcW w:w="8278" w:type="dxa"/>
          <w:gridSpan w:val="2"/>
          <w:tcBorders>
            <w:lef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Dated 23/10/2019</w:t>
          </w:r>
        </w:p>
      </w:tc>
    </w:tr>
    <w:tr w:rsidR="00000000">
      <w:tblPrEx>
        <w:tblCellMar>
          <w:top w:w="0" w:type="dxa"/>
          <w:bottom w:w="0" w:type="dxa"/>
        </w:tblCellMar>
      </w:tblPrEx>
      <w:tc>
        <w:tcPr>
          <w:tcW w:w="8278" w:type="dxa"/>
          <w:gridSpan w:val="2"/>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First compilation</w:t>
          </w:r>
        </w:p>
      </w:tc>
    </w:tr>
    <w:tr w:rsidR="00000000">
      <w:tblPrEx>
        <w:tblCellMar>
          <w:top w:w="0" w:type="dxa"/>
          <w:bottom w:w="0" w:type="dxa"/>
        </w:tblCellMar>
      </w:tblPrEx>
      <w:tc>
        <w:tcPr>
          <w:tcW w:w="8278" w:type="dxa"/>
          <w:gridSpan w:val="2"/>
          <w:tcBorders>
            <w:top w:val="single" w:sz="6" w:space="0" w:color="auto"/>
            <w:left w:val="single" w:sz="6" w:space="0" w:color="auto"/>
          </w:tcBorders>
          <w:shd w:val="clear" w:color="auto" w:fill="FFFFFF"/>
        </w:tcPr>
        <w:p w:rsidR="00000000" w:rsidRDefault="000F503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SCREEN-SOL HS 900</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Printed on 27/11/2019</w:t>
          </w:r>
        </w:p>
      </w:tc>
    </w:tr>
    <w:tr w:rsidR="00000000">
      <w:tblPrEx>
        <w:tblCellMar>
          <w:top w:w="0" w:type="dxa"/>
          <w:bottom w:w="0" w:type="dxa"/>
        </w:tblCellMar>
      </w:tblPrEx>
      <w:tc>
        <w:tcPr>
          <w:tcW w:w="8278" w:type="dxa"/>
          <w:gridSpan w:val="2"/>
          <w:tcBorders>
            <w:left w:val="single" w:sz="6" w:space="0" w:color="auto"/>
            <w:bottom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 xml:space="preserve">Page n. </w:t>
          </w:r>
          <w:r>
            <w:rPr>
              <w:rFonts w:ascii="Arial" w:hAnsi="Arial"/>
              <w:color w:val="000000"/>
              <w:sz w:val="12"/>
              <w:szCs w:val="22"/>
              <w:lang w:eastAsia="en-US"/>
            </w:rPr>
            <w:fldChar w:fldCharType="begin"/>
          </w:r>
          <w:r>
            <w:rPr>
              <w:rFonts w:ascii="Arial" w:hAnsi="Arial"/>
              <w:color w:val="000000"/>
              <w:sz w:val="12"/>
              <w:szCs w:val="22"/>
              <w:lang w:eastAsia="en-US"/>
            </w:rPr>
            <w:instrText xml:space="preserve">PAGE \* MERGEFORMAT </w:instrText>
          </w:r>
          <w:r>
            <w:rPr>
              <w:rFonts w:ascii="Arial" w:hAnsi="Arial"/>
              <w:color w:val="000000"/>
              <w:sz w:val="12"/>
              <w:szCs w:val="22"/>
              <w:lang w:eastAsia="en-US"/>
            </w:rPr>
            <w:fldChar w:fldCharType="end"/>
          </w:r>
          <w:r>
            <w:rPr>
              <w:rFonts w:ascii="Arial" w:hAnsi="Arial"/>
              <w:color w:val="000000"/>
              <w:sz w:val="12"/>
              <w:szCs w:val="22"/>
              <w:lang w:eastAsia="en-US"/>
            </w:rPr>
            <w:t>/</w:t>
          </w:r>
          <w:r>
            <w:rPr>
              <w:rFonts w:ascii="Arial" w:hAnsi="Arial"/>
              <w:color w:val="000000"/>
              <w:sz w:val="12"/>
              <w:szCs w:val="22"/>
              <w:lang w:eastAsia="en-US"/>
            </w:rPr>
            <w:fldChar w:fldCharType="begin"/>
          </w:r>
          <w:r>
            <w:rPr>
              <w:rFonts w:ascii="Arial" w:hAnsi="Arial"/>
              <w:color w:val="000000"/>
              <w:sz w:val="12"/>
              <w:szCs w:val="22"/>
              <w:lang w:eastAsia="en-US"/>
            </w:rPr>
            <w:instrText>NUMPAGES \</w:instrText>
          </w:r>
          <w:r>
            <w:rPr>
              <w:rFonts w:ascii="Arial" w:hAnsi="Arial"/>
              <w:color w:val="000000"/>
              <w:sz w:val="12"/>
              <w:szCs w:val="22"/>
              <w:lang w:eastAsia="en-US"/>
            </w:rPr>
            <w:instrText xml:space="preserve">* MERGEFORMAT </w:instrText>
          </w:r>
          <w:r>
            <w:rPr>
              <w:rFonts w:ascii="Arial" w:hAnsi="Arial"/>
              <w:color w:val="000000"/>
              <w:sz w:val="12"/>
              <w:szCs w:val="22"/>
              <w:lang w:eastAsia="en-US"/>
            </w:rPr>
            <w:fldChar w:fldCharType="end"/>
          </w:r>
        </w:p>
      </w:tc>
    </w:tr>
    <w:tr w:rsidR="00000000">
      <w:tblPrEx>
        <w:tblCellMar>
          <w:top w:w="0" w:type="dxa"/>
          <w:bottom w:w="0" w:type="dxa"/>
        </w:tblCellMar>
      </w:tblPrEx>
      <w:tc>
        <w:tcPr>
          <w:tcW w:w="2551" w:type="dxa"/>
          <w:tcBorders>
            <w:left w:val="single" w:sz="6" w:space="0" w:color="auto"/>
            <w:bottom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r>
            <w:rPr>
              <w:rFonts w:ascii="Arial" w:hAnsi="Arial"/>
              <w:b/>
              <w:color w:val="000000"/>
              <w:sz w:val="18"/>
              <w:szCs w:val="22"/>
              <w:lang w:eastAsia="en-US"/>
            </w:rPr>
            <w:t>Safety Data Sheet</w:t>
          </w:r>
        </w:p>
      </w:tc>
      <w:tc>
        <w:tcPr>
          <w:tcW w:w="8448" w:type="dxa"/>
          <w:gridSpan w:val="2"/>
          <w:tcBorders>
            <w:bottom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4"/>
              <w:szCs w:val="22"/>
              <w:lang w:eastAsia="en-US"/>
            </w:rPr>
            <w:t>According to Annex II to REACH - Regulation 2015/830</w:t>
          </w:r>
        </w:p>
      </w:tc>
    </w:tr>
  </w:tbl>
  <w:p w:rsidR="00000000" w:rsidRDefault="000F503F">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828C"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60DA"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" o:allowincell="f" strokecolor="#a9a9a9">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F503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Revision nr. 11</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Dated 23/10/2019</w:t>
          </w:r>
        </w:p>
      </w:tc>
    </w:tr>
    <w:tr w:rsidR="00000000">
      <w:tblPrEx>
        <w:tblCellMar>
          <w:top w:w="0" w:type="dxa"/>
          <w:bottom w:w="0" w:type="dxa"/>
        </w:tblCellMar>
      </w:tblPrEx>
      <w:tc>
        <w:tcPr>
          <w:tcW w:w="8278"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First compilation</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F503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SCREEN-SOL HS 900</w:t>
          </w:r>
        </w:p>
      </w:tc>
      <w:tc>
        <w:tcPr>
          <w:tcW w:w="2721" w:type="dxa"/>
          <w:tcBorders>
            <w:left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Printed on 27/11/2019</w:t>
          </w:r>
        </w:p>
      </w:tc>
    </w:tr>
    <w:tr w:rsidR="00000000">
      <w:tblPrEx>
        <w:tblCellMar>
          <w:top w:w="0" w:type="dxa"/>
          <w:bottom w:w="0" w:type="dxa"/>
        </w:tblCellMar>
      </w:tblPrEx>
      <w:tc>
        <w:tcPr>
          <w:tcW w:w="8278" w:type="dxa"/>
          <w:tcBorders>
            <w:left w:val="single" w:sz="6" w:space="0" w:color="auto"/>
            <w:bottom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0F503F">
          <w:pPr>
            <w:tabs>
              <w:tab w:val="center" w:pos="4819"/>
              <w:tab w:val="right" w:pos="9638"/>
            </w:tabs>
            <w:rPr>
              <w:sz w:val="22"/>
              <w:szCs w:val="22"/>
              <w:lang w:eastAsia="en-US"/>
            </w:rPr>
          </w:pPr>
          <w:r>
            <w:rPr>
              <w:rFonts w:ascii="Arial" w:hAnsi="Arial"/>
              <w:color w:val="000000"/>
              <w:sz w:val="12"/>
              <w:szCs w:val="22"/>
              <w:lang w:eastAsia="en-US"/>
            </w:rPr>
            <w:t xml:space="preserve">Page n. </w:t>
          </w:r>
          <w:r>
            <w:rPr>
              <w:rFonts w:ascii="Arial" w:hAnsi="Arial"/>
              <w:color w:val="000000"/>
              <w:sz w:val="12"/>
              <w:szCs w:val="22"/>
              <w:lang w:eastAsia="en-US"/>
            </w:rPr>
            <w:fldChar w:fldCharType="begin"/>
          </w:r>
          <w:r>
            <w:rPr>
              <w:rFonts w:ascii="Arial" w:hAnsi="Arial"/>
              <w:color w:val="000000"/>
              <w:sz w:val="12"/>
              <w:szCs w:val="22"/>
              <w:lang w:eastAsia="en-US"/>
            </w:rPr>
            <w:instrText>PAGE \</w:instrText>
          </w:r>
          <w:r>
            <w:rPr>
              <w:rFonts w:ascii="Arial" w:hAnsi="Arial"/>
              <w:color w:val="000000"/>
              <w:sz w:val="12"/>
              <w:szCs w:val="22"/>
              <w:lang w:eastAsia="en-US"/>
            </w:rPr>
            <w:instrText xml:space="preserve">* MERGEFORMAT </w:instrText>
          </w:r>
          <w:r>
            <w:rPr>
              <w:rFonts w:ascii="Arial" w:hAnsi="Arial"/>
              <w:color w:val="000000"/>
              <w:sz w:val="12"/>
              <w:szCs w:val="22"/>
              <w:lang w:eastAsia="en-US"/>
            </w:rPr>
            <w:fldChar w:fldCharType="end"/>
          </w:r>
          <w:r>
            <w:rPr>
              <w:rFonts w:ascii="Arial" w:hAnsi="Arial"/>
              <w:color w:val="000000"/>
              <w:sz w:val="12"/>
              <w:szCs w:val="22"/>
              <w:lang w:eastAsia="en-US"/>
            </w:rPr>
            <w:t>/</w:t>
          </w:r>
          <w:r>
            <w:rPr>
              <w:rFonts w:ascii="Arial" w:hAnsi="Arial"/>
              <w:color w:val="000000"/>
              <w:sz w:val="12"/>
              <w:szCs w:val="22"/>
              <w:lang w:eastAsia="en-US"/>
            </w:rPr>
            <w:fldChar w:fldCharType="begin"/>
          </w:r>
          <w:r>
            <w:rPr>
              <w:rFonts w:ascii="Arial" w:hAnsi="Arial"/>
              <w:color w:val="000000"/>
              <w:sz w:val="12"/>
              <w:szCs w:val="22"/>
              <w:lang w:eastAsia="en-US"/>
            </w:rPr>
            <w:instrText xml:space="preserve">NUMPAGES \* MERGEFORMAT </w:instrText>
          </w:r>
          <w:r>
            <w:rPr>
              <w:rFonts w:ascii="Arial" w:hAnsi="Arial"/>
              <w:color w:val="000000"/>
              <w:sz w:val="12"/>
              <w:szCs w:val="22"/>
              <w:lang w:eastAsia="en-US"/>
            </w:rPr>
            <w:fldChar w:fldCharType="end"/>
          </w:r>
        </w:p>
      </w:tc>
    </w:tr>
  </w:tbl>
  <w:p w:rsidR="00000000" w:rsidRDefault="000F503F">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-248285</wp:posOffset>
              </wp:positionV>
              <wp:extent cx="0" cy="89033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19E0"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" o:allowincell="f" strokecolor="#a9a9a9">
              <w10:wrap anchorx="margin" anchory="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585E"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3F"/>
    <w:rsid w:val="000F503F"/>
    <w:rsid w:val="00171DD7"/>
    <w:rsid w:val="001C5724"/>
    <w:rsid w:val="002000E3"/>
    <w:rsid w:val="002B4F1F"/>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2BE59001-D05E-40D4-B5F7-51A202A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9C8328C6</Template>
  <TotalTime>1</TotalTime>
  <Pages>1</Pages>
  <Words>3368</Words>
  <Characters>19203</Characters>
  <Application>Microsoft Office Word</Application>
  <DocSecurity>4</DocSecurity>
  <Lines>160</Lines>
  <Paragraphs>45</Paragraphs>
  <ScaleCrop>false</ScaleCrop>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Best</dc:creator>
  <cp:keywords/>
  <dc:description>Produced by RTFGenerator. Ownership of: INFOTEC sas info@infotec-online.it</dc:description>
  <cp:lastModifiedBy>Holly Best</cp:lastModifiedBy>
  <cp:revision>2</cp:revision>
  <dcterms:created xsi:type="dcterms:W3CDTF">2019-12-04T12:16:00Z</dcterms:created>
  <dcterms:modified xsi:type="dcterms:W3CDTF">2019-12-04T12:16:00Z</dcterms:modified>
</cp:coreProperties>
</file>