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742F">
      <w:pPr>
        <w:widowControl w:val="0"/>
        <w:autoSpaceDE w:val="0"/>
        <w:autoSpaceDN w:val="0"/>
        <w:adjustRightInd w:val="0"/>
        <w:rPr>
          <w:lang w:val="en-US" w:eastAsia="en-US"/>
        </w:rPr>
      </w:pPr>
      <w:bookmarkStart w:id="0" w:name="_GoBack"/>
      <w:bookmarkEnd w:id="0"/>
      <w:r>
        <w:rPr>
          <w:lang w:val="en-US" w:eastAsia="en-US"/>
        </w:rPr>
        <w:t xml:space="preserve"> </w:t>
      </w:r>
    </w:p>
    <w:p w:rsidR="00000000" w:rsidRDefault="00D8742F">
      <w:pPr>
        <w:widowControl w:val="0"/>
        <w:autoSpaceDE w:val="0"/>
        <w:autoSpaceDN w:val="0"/>
        <w:adjustRightInd w:val="0"/>
        <w:jc w:val="center"/>
        <w:rPr>
          <w:lang w:val="en-US" w:eastAsia="en-US"/>
        </w:rPr>
      </w:pPr>
      <w:r>
        <w:rPr>
          <w:rFonts w:ascii="Arial" w:hAnsi="Arial"/>
          <w:b/>
          <w:color w:val="000000"/>
          <w:sz w:val="32"/>
          <w:lang w:val="en-US" w:eastAsia="en-US"/>
        </w:rPr>
        <w:t>Information Sheet</w:t>
      </w:r>
    </w:p>
    <w:p w:rsidR="00000000" w:rsidRDefault="00D8742F">
      <w:pPr>
        <w:widowControl w:val="0"/>
        <w:autoSpaceDE w:val="0"/>
        <w:autoSpaceDN w:val="0"/>
        <w:adjustRightInd w:val="0"/>
        <w:jc w:val="center"/>
        <w:rPr>
          <w:lang w:val="en-US" w:eastAsia="en-US"/>
        </w:rPr>
      </w:pPr>
    </w:p>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 Identification of the substance/mixture and of the company/undertaking</w:t>
            </w:r>
          </w:p>
        </w:tc>
      </w:tr>
    </w:tbl>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1.1. Product identifier</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Code:</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AM122124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Product name</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PLAST PF TRASPARENTE TRANSFER PLUS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D8742F">
            <w:pPr>
              <w:widowControl w:val="0"/>
              <w:autoSpaceDE w:val="0"/>
              <w:autoSpaceDN w:val="0"/>
              <w:adjustRightInd w:val="0"/>
              <w:jc w:val="center"/>
              <w:rPr>
                <w:lang w:val="en-US" w:eastAsia="en-US"/>
              </w:rPr>
            </w:pPr>
          </w:p>
        </w:tc>
      </w:tr>
    </w:tbl>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Intended use</w:t>
            </w:r>
          </w:p>
        </w:tc>
        <w:tc>
          <w:tcPr>
            <w:tcW w:w="8505"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plastisol per stampa serigrafica</w:t>
            </w:r>
          </w:p>
        </w:tc>
      </w:tr>
    </w:tbl>
    <w:p w:rsidR="00000000" w:rsidRDefault="00D8742F">
      <w:pPr>
        <w:widowControl w:val="0"/>
        <w:autoSpaceDE w:val="0"/>
        <w:autoSpaceDN w:val="0"/>
        <w:adjustRightInd w:val="0"/>
        <w:jc w:val="center"/>
        <w:rPr>
          <w:lang w:val="en-US" w:eastAsia="en-US"/>
        </w:rPr>
      </w:pPr>
    </w:p>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 xml:space="preserve">1.3. Details of </w:t>
            </w:r>
            <w:r>
              <w:rPr>
                <w:rFonts w:ascii="Arial" w:hAnsi="Arial"/>
                <w:b/>
                <w:color w:val="000000"/>
                <w:sz w:val="16"/>
                <w:lang w:val="en-US" w:eastAsia="en-US"/>
              </w:rPr>
              <w:t>the supplier of the safety data sheet</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Name</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AMEX S.R.L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Full address</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VIALE DELLO SPORT 12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District and Country</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22070 APPIANO GENTILE (CO)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IT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Tel. 031931923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Fax 031933789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e-mail address of the competent person</w:t>
            </w:r>
          </w:p>
        </w:tc>
        <w:tc>
          <w:tcPr>
            <w:tcW w:w="6804"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responsible for the Safety Data Sheet</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melissa@amexsrl.it </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jc w:val="center"/>
              <w:rPr>
                <w:lang w:val="en-US" w:eastAsia="en-US"/>
              </w:rPr>
            </w:pPr>
            <w:r>
              <w:rPr>
                <w:lang w:val="en-US" w:eastAsia="en-US"/>
              </w:rPr>
              <w:t xml:space="preserve"> </w:t>
            </w:r>
          </w:p>
        </w:tc>
        <w:tc>
          <w:tcPr>
            <w:tcW w:w="6804" w:type="dxa"/>
            <w:shd w:val="clear" w:color="auto" w:fill="FFFFFF"/>
          </w:tcPr>
          <w:p w:rsidR="00000000" w:rsidRDefault="00D8742F">
            <w:pPr>
              <w:widowControl w:val="0"/>
              <w:autoSpaceDE w:val="0"/>
              <w:autoSpaceDN w:val="0"/>
              <w:adjustRightInd w:val="0"/>
              <w:jc w:val="center"/>
              <w:rPr>
                <w:lang w:val="en-US" w:eastAsia="en-US"/>
              </w:rPr>
            </w:pPr>
          </w:p>
        </w:tc>
      </w:tr>
    </w:tbl>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1.4. Emergency telephone number</w:t>
            </w:r>
          </w:p>
        </w:tc>
      </w:tr>
      <w:tr w:rsidR="00000000">
        <w:tblPrEx>
          <w:tblCellMar>
            <w:top w:w="0" w:type="dxa"/>
            <w:bottom w:w="0" w:type="dxa"/>
          </w:tblCellMar>
        </w:tblPrEx>
        <w:tc>
          <w:tcPr>
            <w:tcW w:w="3969"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For urgent inquiries refer to</w:t>
            </w:r>
          </w:p>
        </w:tc>
        <w:tc>
          <w:tcPr>
            <w:tcW w:w="6804" w:type="dxa"/>
            <w:shd w:val="clear" w:color="auto" w:fill="FFFFFF"/>
          </w:tcPr>
          <w:p w:rsidR="00000000" w:rsidRDefault="00D8742F">
            <w:pPr>
              <w:widowControl w:val="0"/>
              <w:autoSpaceDE w:val="0"/>
              <w:autoSpaceDN w:val="0"/>
              <w:adjustRightInd w:val="0"/>
              <w:rPr>
                <w:lang w:val="en-US" w:eastAsia="en-US"/>
              </w:rPr>
            </w:pPr>
            <w:r>
              <w:rPr>
                <w:rFonts w:ascii="Arial" w:hAnsi="Arial"/>
                <w:b/>
                <w:color w:val="000000"/>
                <w:sz w:val="16"/>
                <w:lang w:val="en-US" w:eastAsia="en-US"/>
              </w:rPr>
              <w:t xml:space="preserve">031931923                                                                                   Poison Control Center - Ospedale Niguarda - Milano - tel. 02/66101029 </w:t>
            </w:r>
          </w:p>
        </w:tc>
      </w:tr>
    </w:tbl>
    <w:p w:rsidR="00000000" w:rsidRDefault="00D8742F">
      <w:pPr>
        <w:widowControl w:val="0"/>
        <w:autoSpaceDE w:val="0"/>
        <w:autoSpaceDN w:val="0"/>
        <w:adjustRightInd w:val="0"/>
        <w:jc w:val="center"/>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2. Hazards identification</w:t>
            </w:r>
          </w:p>
        </w:tc>
      </w:tr>
    </w:tbl>
    <w:p w:rsidR="00000000" w:rsidRDefault="00D8742F">
      <w:pPr>
        <w:widowControl w:val="0"/>
        <w:autoSpaceDE w:val="0"/>
        <w:autoSpaceDN w:val="0"/>
        <w:adjustRightInd w:val="0"/>
        <w:jc w:val="center"/>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2.1. Classification of the substance or mixture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is not classified as hazardous pursuant to the provisions set forth in EC Regulation 1272/2008 (CLP) (and subsequent amendments and supplements).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 classification and indication: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2.2. Label</w:t>
      </w:r>
      <w:r>
        <w:rPr>
          <w:rFonts w:ascii="Arial" w:hAnsi="Arial"/>
          <w:b/>
          <w:color w:val="000000"/>
          <w:sz w:val="16"/>
          <w:lang w:val="en-US" w:eastAsia="en-US"/>
        </w:rPr>
        <w:t xml:space="preserve"> elements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Hazard pictograms:</w:t>
            </w:r>
          </w:p>
        </w:tc>
        <w:tc>
          <w:tcPr>
            <w:tcW w:w="878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Signal words:</w:t>
            </w:r>
          </w:p>
        </w:tc>
        <w:tc>
          <w:tcPr>
            <w:tcW w:w="878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 statements:</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8742F">
            <w:pPr>
              <w:widowControl w:val="0"/>
              <w:autoSpaceDE w:val="0"/>
              <w:autoSpaceDN w:val="0"/>
              <w:adjustRightInd w:val="0"/>
              <w:jc w:val="both"/>
              <w:rPr>
                <w:lang w:val="en-US" w:eastAsia="en-US"/>
              </w:rPr>
            </w:pPr>
            <w:r>
              <w:rPr>
                <w:lang w:val="en-US" w:eastAsia="en-US"/>
              </w:rPr>
              <w:t xml:space="preserve"> </w:t>
            </w:r>
          </w:p>
        </w:tc>
        <w:tc>
          <w:tcPr>
            <w:tcW w:w="878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Precautionary statements:</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8742F">
            <w:pPr>
              <w:widowControl w:val="0"/>
              <w:autoSpaceDE w:val="0"/>
              <w:autoSpaceDN w:val="0"/>
              <w:adjustRightInd w:val="0"/>
              <w:jc w:val="both"/>
              <w:rPr>
                <w:lang w:val="en-US" w:eastAsia="en-US"/>
              </w:rPr>
            </w:pPr>
            <w:r>
              <w:rPr>
                <w:lang w:val="en-US" w:eastAsia="en-US"/>
              </w:rPr>
              <w:t xml:space="preserve"> </w:t>
            </w:r>
          </w:p>
        </w:tc>
        <w:tc>
          <w:tcPr>
            <w:tcW w:w="878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2.3. Other hazards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does not contain any PBT or vPvB in percentage greater than 0,1%.</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3. Composition/information on ingredients</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3.2. Mixtures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does not contain substances classified as being hazardous to hu</w:t>
      </w:r>
      <w:r>
        <w:rPr>
          <w:rFonts w:ascii="Arial" w:hAnsi="Arial"/>
          <w:color w:val="000000"/>
          <w:sz w:val="16"/>
          <w:lang w:val="en-US" w:eastAsia="en-US"/>
        </w:rPr>
        <w:t>man health or the environment pursuant to the provisions Regulation (EU) 1272/2008 (CLP) (and subsequent amendments and supplements) in such quantities as to require the statement.</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4. First aid measures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4.1. Description of first aid measures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specifically necessary. Observance of good industrial hygiene is recommended.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4.2. Most important symptoms and effects, both acute and delayed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Specific information on symptoms and effects caused by the product </w:t>
      </w:r>
      <w:r>
        <w:rPr>
          <w:rFonts w:ascii="Arial" w:hAnsi="Arial"/>
          <w:color w:val="000000"/>
          <w:sz w:val="16"/>
          <w:lang w:val="en-US" w:eastAsia="en-US"/>
        </w:rPr>
        <w:t>are unknown.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4.3. Indication of any immediate medical attention and special treatment needed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5. Firefighting measures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5.1. Extinguishing media</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SUITABLE EXTINGUISHING EQUIPMENT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The extinguishing equipment should be </w:t>
      </w:r>
      <w:r>
        <w:rPr>
          <w:rFonts w:ascii="Arial" w:hAnsi="Arial"/>
          <w:color w:val="000000"/>
          <w:sz w:val="16"/>
          <w:lang w:val="en-US" w:eastAsia="en-US"/>
        </w:rPr>
        <w:t>of the conventional kind: carbon dioxide, foam, powder and water spray.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UNSUITABLE EXTINGUISHING EQUIPMENT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in particular.</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5.2. Special hazards arising from the substance or mixture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HAZARDS CAUSED BY EXPOSURE IN THE EVENT OF FIRE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Do not breathe combustion products.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5.3. Advice for firefighters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GENERAL INFORMATION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Use jets of water to cool the containers to prevent product decomposition and the development of substances potentially h</w:t>
      </w:r>
      <w:r>
        <w:rPr>
          <w:rFonts w:ascii="Arial" w:hAnsi="Arial"/>
          <w:color w:val="000000"/>
          <w:sz w:val="16"/>
          <w:lang w:val="en-US" w:eastAsia="en-US"/>
        </w:rPr>
        <w:t>azardous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SP</w:t>
      </w:r>
      <w:r>
        <w:rPr>
          <w:rFonts w:ascii="Arial" w:hAnsi="Arial"/>
          <w:color w:val="000000"/>
          <w:sz w:val="16"/>
          <w:lang w:val="en-US" w:eastAsia="en-US"/>
        </w:rPr>
        <w:t>ECIAL PROTECTIVE EQUIPMENT FOR FIRE-FIGHTERS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Normal fire fighting clothing i.e. fire kit (BS EN 469), gloves (BS EN 659) and boots (HO specification A29 and A30) in combination with self-contained open circuit positive pressure compressed air breathing app</w:t>
      </w:r>
      <w:r>
        <w:rPr>
          <w:rFonts w:ascii="Arial" w:hAnsi="Arial"/>
          <w:color w:val="000000"/>
          <w:sz w:val="16"/>
          <w:lang w:val="en-US" w:eastAsia="en-US"/>
        </w:rPr>
        <w:t>aratus (BS EN 137).</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6. Accidental release measures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6.1. Personal precautions, protective equipment and emergency procedures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Use breathing equipment if fumes or powders are released into the air. These indications apply for both processing staff and those involved in emergency procedures.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6.2. Environmental precautions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must not penetrate into the sewer system or co</w:t>
      </w:r>
      <w:r>
        <w:rPr>
          <w:rFonts w:ascii="Arial" w:hAnsi="Arial"/>
          <w:color w:val="000000"/>
          <w:sz w:val="16"/>
          <w:lang w:val="en-US" w:eastAsia="en-US"/>
        </w:rPr>
        <w:t>me into contact with surface water or ground water.</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6.3. Methods and material for containment and cleaning up</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Confine using earth or inert material. Collect as much material as possible and eliminate the rest using jets of water. Contaminated material sh</w:t>
      </w:r>
      <w:r>
        <w:rPr>
          <w:rFonts w:ascii="Arial" w:hAnsi="Arial"/>
          <w:color w:val="000000"/>
          <w:sz w:val="16"/>
          <w:lang w:val="en-US" w:eastAsia="en-US"/>
        </w:rPr>
        <w:t>ould be disposed of in compliance with the provisions set forth in point 13.</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6.4. Reference to other sections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Any information on personal protection and disposal is given in sections 8 and 13.</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7. Handling and storage</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7.1. Precautions for saf</w:t>
      </w:r>
      <w:r>
        <w:rPr>
          <w:rFonts w:ascii="Arial" w:hAnsi="Arial"/>
          <w:b/>
          <w:color w:val="000000"/>
          <w:sz w:val="16"/>
          <w:lang w:val="en-US" w:eastAsia="en-US"/>
        </w:rPr>
        <w:t>e handling</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Before handling the product, consult all the other sections of this material safety data sheet. Avoid leakage of the product into the environment. Do not eat, drink or smoke during use.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7.2. Conditions for safe storage, including any incompatibilities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Keep the product in clearly labelled containers. Keep containers away from any incompatible materials, see section 10 for details.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7.3. Specific end use(s)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w:t>
            </w:r>
            <w:r>
              <w:rPr>
                <w:rFonts w:ascii="Arial" w:hAnsi="Arial"/>
                <w:b/>
                <w:color w:val="000000"/>
                <w:sz w:val="22"/>
                <w:lang w:val="en-US" w:eastAsia="en-US"/>
              </w:rPr>
              <w:t>TION 8. Exposure controls/personal protection</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8.1. Control parameters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8.2. Exposure controls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Comply with the safety measures usually applied when handling chemical substances.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HAND PROTECTION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required.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SKIN PROTECTION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required.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EYE PROTECTION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required.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RESPIRATORY PROTECTION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required, unless indicated otherwise in the chemi</w:t>
      </w:r>
      <w:r>
        <w:rPr>
          <w:rFonts w:ascii="Arial" w:hAnsi="Arial"/>
          <w:color w:val="000000"/>
          <w:sz w:val="16"/>
          <w:lang w:val="en-US" w:eastAsia="en-US"/>
        </w:rPr>
        <w:t>cal risk assessment.</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ENVIRONMENTAL EXPOSURE CONTROLS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emissions generated by manufacturing processes, including those generated by ventilation equipment, should be checked to ensure compliance with environmental standards.</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9. Physical and chemical properties</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9.1. Information on basic physical</w:t>
            </w:r>
            <w:r>
              <w:rPr>
                <w:rFonts w:ascii="Arial" w:hAnsi="Arial"/>
                <w:b/>
                <w:color w:val="000000"/>
                <w:sz w:val="16"/>
                <w:lang w:val="en-US" w:eastAsia="en-US"/>
              </w:rPr>
              <w:t xml:space="preserve"> and chemical properties</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2268"/>
        <w:gridCol w:w="3402"/>
      </w:tblGrid>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Appearance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paste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Colour</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transparent</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Odour</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mild</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Odour threshold</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pH</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Melting point / freezing point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Initial boiling point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Boiling range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Flash point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&gt; 100 °C</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Evaporation Rate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Flammability of solids and gases</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Lower inflammability limit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Upper inflammability limit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Lower explosive limit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Upper explosive limit</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Vapour pressure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Vapour density</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Relative density</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Solubility</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insoluble in water</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Partition coefficient: n-octanol/water</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Auto-ignition temperature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Decomposition temperature</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Viscosity</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Explosive properties</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Oxidising properties</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Not available</w:t>
            </w:r>
          </w:p>
        </w:tc>
        <w:tc>
          <w:tcPr>
            <w:tcW w:w="3402" w:type="dxa"/>
            <w:shd w:val="clear" w:color="auto" w:fill="FFFFFF"/>
          </w:tcPr>
          <w:p w:rsidR="00000000" w:rsidRDefault="00D8742F">
            <w:pPr>
              <w:widowControl w:val="0"/>
              <w:autoSpaceDE w:val="0"/>
              <w:autoSpaceDN w:val="0"/>
              <w:adjustRightInd w:val="0"/>
              <w:rPr>
                <w:lang w:val="en-US" w:eastAsia="en-US"/>
              </w:rPr>
            </w:pP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9.2. Other information</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3402"/>
        <w:gridCol w:w="2268"/>
        <w:gridCol w:w="3402"/>
      </w:tblGrid>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Total solids (250°C / 482°F)</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99,06 %</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VOC (Directive 2010/75/EC) :</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0,21 %    -    2,46    g/litre</w:t>
            </w:r>
          </w:p>
        </w:tc>
        <w:tc>
          <w:tcPr>
            <w:tcW w:w="3402" w:type="dxa"/>
            <w:shd w:val="clear" w:color="auto" w:fill="FFFFFF"/>
          </w:tcPr>
          <w:p w:rsidR="00000000" w:rsidRDefault="00D8742F">
            <w:pPr>
              <w:widowControl w:val="0"/>
              <w:autoSpaceDE w:val="0"/>
              <w:autoSpaceDN w:val="0"/>
              <w:adjustRightInd w:val="0"/>
              <w:rPr>
                <w:lang w:val="en-US" w:eastAsia="en-US"/>
              </w:rPr>
            </w:pPr>
          </w:p>
        </w:tc>
      </w:tr>
      <w:tr w:rsidR="00000000">
        <w:tblPrEx>
          <w:tblCellMar>
            <w:top w:w="0" w:type="dxa"/>
            <w:bottom w:w="0" w:type="dxa"/>
          </w:tblCellMar>
        </w:tblPrEx>
        <w:tc>
          <w:tcPr>
            <w:tcW w:w="3402"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color w:val="000000"/>
                <w:sz w:val="16"/>
                <w:lang w:val="en-US" w:eastAsia="en-US"/>
              </w:rPr>
              <w:t>VOC (volatile carbon) :</w:t>
            </w:r>
          </w:p>
        </w:tc>
        <w:tc>
          <w:tcPr>
            <w:tcW w:w="2268" w:type="dxa"/>
            <w:shd w:val="clear" w:color="auto" w:fill="FFFFFF"/>
          </w:tcPr>
          <w:p w:rsidR="00000000" w:rsidRDefault="00D8742F">
            <w:pPr>
              <w:widowControl w:val="0"/>
              <w:autoSpaceDE w:val="0"/>
              <w:autoSpaceDN w:val="0"/>
              <w:adjustRightInd w:val="0"/>
              <w:rPr>
                <w:lang w:val="en-US" w:eastAsia="en-US"/>
              </w:rPr>
            </w:pPr>
            <w:r>
              <w:rPr>
                <w:rFonts w:ascii="Arial" w:hAnsi="Arial"/>
                <w:color w:val="000000"/>
                <w:sz w:val="16"/>
                <w:lang w:val="en-US" w:eastAsia="en-US"/>
              </w:rPr>
              <w:t>0,30 %    -    3,53    g/litre</w:t>
            </w:r>
          </w:p>
        </w:tc>
        <w:tc>
          <w:tcPr>
            <w:tcW w:w="3402" w:type="dxa"/>
            <w:shd w:val="clear" w:color="auto" w:fill="FFFFFF"/>
          </w:tcPr>
          <w:p w:rsidR="00000000" w:rsidRDefault="00D8742F">
            <w:pPr>
              <w:widowControl w:val="0"/>
              <w:autoSpaceDE w:val="0"/>
              <w:autoSpaceDN w:val="0"/>
              <w:adjustRightInd w:val="0"/>
              <w:rPr>
                <w:lang w:val="en-US" w:eastAsia="en-US"/>
              </w:rPr>
            </w:pP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10. Stability and reactivity</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10.1. Reactivity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There are no particular risks of reaction with other substances in normal conditions of use.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10.2. Chemical stability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is stable in normal conditions of use and storage.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10.3. Possibility of hazardous reactions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 hazardous reactions are foreseeable in normal conditions of use and storage.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10.4. Conditions to avoid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 in particular. However the usual precautions used for chemical products should be respected.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10.5. Incompatible materials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w:t>
      </w:r>
      <w:r>
        <w:rPr>
          <w:rFonts w:ascii="Arial" w:hAnsi="Arial"/>
          <w:color w:val="000000"/>
          <w:sz w:val="16"/>
          <w:lang w:val="en-US" w:eastAsia="en-US"/>
        </w:rPr>
        <w:t>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10.6. Hazardous decomposition products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11. Toxicological information</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According to currently available data, this product has not yet produced health damages. Anyway, it must be handled according to good industrial practices.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11.1. Information on toxicological effects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Metabolism, toxicokinetics, mechanism of action and oth</w:t>
      </w:r>
      <w:r>
        <w:rPr>
          <w:rFonts w:ascii="Arial" w:hAnsi="Arial"/>
          <w:color w:val="000000"/>
          <w:sz w:val="16"/>
          <w:u w:val="single"/>
          <w:lang w:val="en-US" w:eastAsia="en-US"/>
        </w:rPr>
        <w:t>er information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Information on likely routes of exposure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Delayed and immediate effects as well as chronic effects from short and long-term exposure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Interactive effects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Info</w:t>
      </w:r>
      <w:r>
        <w:rPr>
          <w:rFonts w:ascii="Arial" w:hAnsi="Arial"/>
          <w:color w:val="000000"/>
          <w:sz w:val="16"/>
          <w:lang w:val="en-US" w:eastAsia="en-US"/>
        </w:rPr>
        <w:t>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ACUTE TOXICITY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LC50 (Inhalation) of the mixture: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LD50 (Oral) of the mixture: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LD50 (Dermal) of the mixture: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classified (no significant component)</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SKIN CORROSION / IRRITATION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SERIOUS EYE DAMAGE / IRRITATION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 xml:space="preserve">RESPIRATORY OR SKIN </w:t>
      </w:r>
      <w:r>
        <w:rPr>
          <w:rFonts w:ascii="Arial" w:hAnsi="Arial"/>
          <w:color w:val="000000"/>
          <w:sz w:val="16"/>
          <w:u w:val="single"/>
          <w:lang w:val="en-US" w:eastAsia="en-US"/>
        </w:rPr>
        <w:t>SENSITISATION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GERM CELL MUTAGENICITY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CARCINOGENICITY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REPRODUCTIVE TOXICITY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STOT - SINGLE EXPOSURE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STOT - REPEATED EXPOSURE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u w:val="single"/>
          <w:lang w:val="en-US" w:eastAsia="en-US"/>
        </w:rPr>
        <w:t>ASPIRATION HAZARD</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r>
        <w:rPr>
          <w:rFonts w:ascii="Arial" w:hAnsi="Arial"/>
          <w:color w:val="000000"/>
          <w:sz w:val="16"/>
          <w:lang w:val="en-US" w:eastAsia="en-US"/>
        </w:rPr>
        <w:t>Does not meet the classification criteria for this hazard class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12. Ec</w:t>
            </w:r>
            <w:r>
              <w:rPr>
                <w:rFonts w:ascii="Arial" w:hAnsi="Arial"/>
                <w:b/>
                <w:color w:val="000000"/>
                <w:sz w:val="22"/>
                <w:lang w:val="en-US" w:eastAsia="en-US"/>
              </w:rPr>
              <w:t>ological information</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Use this product according to good working practices. Avoid littering. Inform the com</w:t>
      </w:r>
      <w:r>
        <w:rPr>
          <w:rFonts w:ascii="Arial" w:hAnsi="Arial"/>
          <w:color w:val="000000"/>
          <w:sz w:val="16"/>
          <w:lang w:val="en-US" w:eastAsia="en-US"/>
        </w:rPr>
        <w:t>petent authorities, should the product reach waterways or contaminate soil or vegetation.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12.1. Toxicity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12.2. Persistence and degradability</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12.3. Bioaccumulative potential</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w:t>
      </w:r>
      <w:r>
        <w:rPr>
          <w:rFonts w:ascii="Arial" w:hAnsi="Arial"/>
          <w:color w:val="000000"/>
          <w:sz w:val="16"/>
          <w:lang w:val="en-US" w:eastAsia="en-US"/>
        </w:rPr>
        <w:t>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12.4. Mobility in soil</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12.5. Results of PBT and vPvB assessment</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does not contain any PBT or vPvB in percentage greater than 0,1%.</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12.6. Other adverse effects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w:t>
      </w:r>
      <w:r>
        <w:rPr>
          <w:rFonts w:ascii="Arial" w:hAnsi="Arial"/>
          <w:color w:val="000000"/>
          <w:sz w:val="16"/>
          <w:lang w:val="en-US" w:eastAsia="en-US"/>
        </w:rPr>
        <w:t>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13. Disposal considerations</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13.1. Waste treatment methods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Reuse, when possible. Neat product residues should be considered special non-hazardous waste.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Disposal must be performed through an authorised waste management firm, in compliance with national and local regulations.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CONTAMINATED PACKAGING </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Contaminated pa</w:t>
      </w:r>
      <w:r>
        <w:rPr>
          <w:rFonts w:ascii="Arial" w:hAnsi="Arial"/>
          <w:color w:val="000000"/>
          <w:sz w:val="16"/>
          <w:lang w:val="en-US" w:eastAsia="en-US"/>
        </w:rPr>
        <w:t>ckaging must be recovered or disposed of in compliance with national waste management regulations.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14. Transport information</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product is not dangerous under current provisions of the Code of International Carriage of Dangerous Goods by Roa</w:t>
      </w:r>
      <w:r>
        <w:rPr>
          <w:rFonts w:ascii="Arial" w:hAnsi="Arial"/>
          <w:color w:val="000000"/>
          <w:sz w:val="16"/>
          <w:lang w:val="en-US" w:eastAsia="en-US"/>
        </w:rPr>
        <w:t>d (ADR) and by Rail (RID), of the International Maritime Dangerous Goods Code (IMDG), and of the International Air Transport Association (IATA) regulations.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14.1. UN number</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14.2. UN proper shipping name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14.3. Transport hazard class(es)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14.4. Packing group</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14.5. Environmental hazards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14.6. Special precautions for user</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 applicable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b/>
          <w:color w:val="000000"/>
          <w:sz w:val="16"/>
          <w:lang w:val="en-US" w:eastAsia="en-US"/>
        </w:rPr>
      </w:pPr>
      <w:r>
        <w:rPr>
          <w:rFonts w:ascii="Arial" w:hAnsi="Arial"/>
          <w:b/>
          <w:color w:val="000000"/>
          <w:sz w:val="16"/>
          <w:lang w:val="en-US" w:eastAsia="en-US"/>
        </w:rPr>
        <w:t>14.7. Transport in bulk according to Annex II of Marpol and the IBC Code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relevant</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15. Regulatory information</w:t>
            </w:r>
          </w:p>
        </w:tc>
      </w:tr>
    </w:tbl>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15.1. Safety, health and environmental regulations/legislation specific for the substance or mixture</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Seveso Category - Directive 2012/18/EC: 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Restrictions relating to the product or contained substances pursuant to Annex XVII to EC Regulation 1907/2006</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in Candidate List (Art. 59 REACH)</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On the basis of available data, the product do</w:t>
      </w:r>
      <w:r>
        <w:rPr>
          <w:rFonts w:ascii="Arial" w:hAnsi="Arial"/>
          <w:color w:val="000000"/>
          <w:sz w:val="16"/>
          <w:lang w:val="en-US" w:eastAsia="en-US"/>
        </w:rPr>
        <w:t>es not contain any SVHC in percentage greater than 0,1%.</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authorisation (Annex XIV REACH)</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exportation reporting pursuant to (EC) Reg. 649/2012:</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the Rotterdam Convention: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Substances subject to the Stockholm Convention: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None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u w:val="single"/>
          <w:lang w:val="en-US" w:eastAsia="en-US"/>
        </w:rPr>
      </w:pPr>
      <w:r>
        <w:rPr>
          <w:rFonts w:ascii="Arial" w:hAnsi="Arial"/>
          <w:color w:val="000000"/>
          <w:sz w:val="16"/>
          <w:u w:val="single"/>
          <w:lang w:val="en-US" w:eastAsia="en-US"/>
        </w:rPr>
        <w:t>Healthcare controls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Information not available</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16"/>
                <w:lang w:val="en-US" w:eastAsia="en-US"/>
              </w:rPr>
              <w:t>15.2. Chemical safety assessment</w:t>
            </w:r>
          </w:p>
        </w:tc>
      </w:tr>
    </w:tbl>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 chemical safety assessment has been processed for the mixture and the substances it contains.</w:t>
      </w:r>
    </w:p>
    <w:p w:rsidR="00000000" w:rsidRDefault="00D8742F">
      <w:pPr>
        <w:widowControl w:val="0"/>
        <w:autoSpaceDE w:val="0"/>
        <w:autoSpaceDN w:val="0"/>
        <w:adjustRightInd w:val="0"/>
        <w:jc w:val="both"/>
        <w:rPr>
          <w:lang w:val="en-US" w:eastAsia="en-US"/>
        </w:rPr>
      </w:pPr>
    </w:p>
    <w:tbl>
      <w:tblPr>
        <w:tblW w:w="0" w:type="auto"/>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8742F">
            <w:pPr>
              <w:widowControl w:val="0"/>
              <w:autoSpaceDE w:val="0"/>
              <w:autoSpaceDN w:val="0"/>
              <w:adjustRightInd w:val="0"/>
              <w:rPr>
                <w:lang w:val="en-US" w:eastAsia="en-US"/>
              </w:rPr>
            </w:pPr>
            <w:r>
              <w:rPr>
                <w:lang w:val="en-US" w:eastAsia="en-US"/>
              </w:rPr>
              <w:t xml:space="preserve"> </w:t>
            </w:r>
            <w:r>
              <w:rPr>
                <w:rFonts w:ascii="Arial" w:hAnsi="Arial"/>
                <w:b/>
                <w:color w:val="000000"/>
                <w:sz w:val="22"/>
                <w:lang w:val="en-US" w:eastAsia="en-US"/>
              </w:rPr>
              <w:t>SECTION 16. Othe</w:t>
            </w:r>
            <w:r>
              <w:rPr>
                <w:rFonts w:ascii="Arial" w:hAnsi="Arial"/>
                <w:b/>
                <w:color w:val="000000"/>
                <w:sz w:val="22"/>
                <w:lang w:val="en-US" w:eastAsia="en-US"/>
              </w:rPr>
              <w:t>r information</w:t>
            </w:r>
          </w:p>
        </w:tc>
      </w:tr>
    </w:tbl>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LEGEND:</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ADR: European Agreement concerning the carriage of Dangerous goods by Road</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CAS NUMBER: Chemical Abstract Service Number </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CE50: Effective concentration (required to induce a 50% effect)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CE NUMBER: Identifier in ESIS (European archive of existing substances)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CLP: EC Regulation 1272/2008</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DNEL: Derived No Effect Level</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EmS: Emergency Schedule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GHS: Globally Harmonized </w:t>
      </w:r>
      <w:r>
        <w:rPr>
          <w:rFonts w:ascii="Arial" w:hAnsi="Arial"/>
          <w:color w:val="000000"/>
          <w:sz w:val="16"/>
          <w:lang w:val="en-US" w:eastAsia="en-US"/>
        </w:rPr>
        <w:t>System of classification and labeling of chemicals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IATA DGR: International Air Transport Association Dangerous Goods Regulation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IC50: Immobilization Concentration 50% </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IMDG: International Maritime Code for dangerous goods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IMO: International Maritim</w:t>
      </w:r>
      <w:r>
        <w:rPr>
          <w:rFonts w:ascii="Arial" w:hAnsi="Arial"/>
          <w:color w:val="000000"/>
          <w:sz w:val="16"/>
          <w:lang w:val="en-US" w:eastAsia="en-US"/>
        </w:rPr>
        <w:t>e Organization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INDEX NUMBER: Identifier in Annex VI of CLP</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LC50: Lethal Concentration 50%</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LD50: Lethal dose 50%</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OEL: Occupational Exposure Level</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PBT: Persistent bioaccumulative and toxic as REACH Regulation </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PEC: Predicted environmental Concent</w:t>
      </w:r>
      <w:r>
        <w:rPr>
          <w:rFonts w:ascii="Arial" w:hAnsi="Arial"/>
          <w:color w:val="000000"/>
          <w:sz w:val="16"/>
          <w:lang w:val="en-US" w:eastAsia="en-US"/>
        </w:rPr>
        <w:t>ration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PEL: Predicted exposure level</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PNEC: Predicted no effect concentration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xml:space="preserve">- REACH: EC Regulation 1907/2006 </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RID: Regulation concerning the international transport of dangerous goods by train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TLV: Threshold Limit Value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TLV CEILING: Concentration that should not be exceeded during any time of occupational exposure.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TWA STEL: Short-term exposure limit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TWA: Time-weighted average exposure limit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VOC: Volatile organic Compounds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vPvB: Very Persistent and very Bioaccum</w:t>
      </w:r>
      <w:r>
        <w:rPr>
          <w:rFonts w:ascii="Arial" w:hAnsi="Arial"/>
          <w:color w:val="000000"/>
          <w:sz w:val="16"/>
          <w:lang w:val="en-US" w:eastAsia="en-US"/>
        </w:rPr>
        <w:t>ulative as for REACH Regulation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WGK: Water hazard classes (German).</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GENERAL BIBLIOGRAPHY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 Regulation (EC) 1907/2006 (REACH)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2. Regulation (EC) 1272/2008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3. Regulation (EU) 790/2009 (I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4. Regulation (EU) 2015/830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5. Regulation (EU) 286/2011 (II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6.</w:t>
      </w:r>
      <w:r>
        <w:rPr>
          <w:rFonts w:ascii="Arial" w:hAnsi="Arial"/>
          <w:color w:val="000000"/>
          <w:sz w:val="16"/>
          <w:lang w:val="en-US" w:eastAsia="en-US"/>
        </w:rPr>
        <w:t xml:space="preserve"> Regulation (EU) 618/2012 (III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7. Regulation (EU) 487/2013 (IV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8. Regulation (EU) 944/2013 (V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9. Regulation (EU) 605/2014 (VI Atp. CLP) of the Eu</w:t>
      </w:r>
      <w:r>
        <w:rPr>
          <w:rFonts w:ascii="Arial" w:hAnsi="Arial"/>
          <w:color w:val="000000"/>
          <w:sz w:val="16"/>
          <w:lang w:val="en-US" w:eastAsia="en-US"/>
        </w:rPr>
        <w:t>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10. Regulation (EU) 2015/1221 (VII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11. Regulation (EU) 2016/918 (VIII Atp. CLP) of the European Parliament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12. Regulation (EU) 2016/1179 (IX Atp. CLP)</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13. Regulation (EU) 2017/776 (X Atp. CLP)</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14. Regu</w:t>
      </w:r>
      <w:r>
        <w:rPr>
          <w:rFonts w:ascii="Arial" w:hAnsi="Arial"/>
          <w:color w:val="000000"/>
          <w:sz w:val="16"/>
          <w:lang w:val="en-US" w:eastAsia="en-US"/>
        </w:rPr>
        <w:t>lation (EU) 2018/1480 (XIII Atp. CLP)</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The Merck Index. - 10th Edition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Handling Chemical Safety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INRS - Fiche Toxicologique (toxicological sheet)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Patty - Industrial Hygiene and Toxicology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N.I. Sax - Dangerous properties of Industrial Materials-7, 1989 Edition</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IFA GESTIS website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ECHA website</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 Database of SDS models for chemicals - Ministry of Health and ISS (Istituto Superiore di Sanità) - Italy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Note for users: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information contain</w:t>
      </w:r>
      <w:r>
        <w:rPr>
          <w:rFonts w:ascii="Arial" w:hAnsi="Arial"/>
          <w:color w:val="000000"/>
          <w:sz w:val="16"/>
          <w:lang w:val="en-US" w:eastAsia="en-US"/>
        </w:rPr>
        <w:t>ed in the present sheet are based on our own knowledge on the date of the last version. Users must verify the suitability and thoroughness of provided information according to each specific use of the product.</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This document must not be regarded as a guaran</w:t>
      </w:r>
      <w:r>
        <w:rPr>
          <w:rFonts w:ascii="Arial" w:hAnsi="Arial"/>
          <w:color w:val="000000"/>
          <w:sz w:val="16"/>
          <w:lang w:val="en-US" w:eastAsia="en-US"/>
        </w:rPr>
        <w:t>tee on any specific product property.</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use of this product is not subject to our direct control; therefore, users must, under their own responsibility, comply with the current health and safety laws and regulations. The producer is relieved from any lia</w:t>
      </w:r>
      <w:r>
        <w:rPr>
          <w:rFonts w:ascii="Arial" w:hAnsi="Arial"/>
          <w:color w:val="000000"/>
          <w:sz w:val="16"/>
          <w:lang w:val="en-US" w:eastAsia="en-US"/>
        </w:rPr>
        <w:t>bility arising from improper uses.</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Provide appointed staff with adequate training on how to use chemical products.</w:t>
      </w:r>
    </w:p>
    <w:p w:rsidR="00000000" w:rsidRDefault="00D8742F">
      <w:pPr>
        <w:widowControl w:val="0"/>
        <w:autoSpaceDE w:val="0"/>
        <w:autoSpaceDN w:val="0"/>
        <w:adjustRightInd w:val="0"/>
        <w:jc w:val="both"/>
        <w:rPr>
          <w:lang w:val="en-US" w:eastAsia="en-US"/>
        </w:rPr>
      </w:pP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Changes to previous review:</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The following sections were modified:</w:t>
      </w:r>
    </w:p>
    <w:p w:rsidR="00000000" w:rsidRDefault="00D8742F">
      <w:pPr>
        <w:widowControl w:val="0"/>
        <w:autoSpaceDE w:val="0"/>
        <w:autoSpaceDN w:val="0"/>
        <w:adjustRightInd w:val="0"/>
        <w:jc w:val="both"/>
        <w:rPr>
          <w:rFonts w:ascii="Arial" w:hAnsi="Arial"/>
          <w:color w:val="000000"/>
          <w:sz w:val="16"/>
          <w:lang w:val="en-US" w:eastAsia="en-US"/>
        </w:rPr>
      </w:pPr>
      <w:r>
        <w:rPr>
          <w:rFonts w:ascii="Arial" w:hAnsi="Arial"/>
          <w:color w:val="000000"/>
          <w:sz w:val="16"/>
          <w:lang w:val="en-US" w:eastAsia="en-US"/>
        </w:rPr>
        <w:t>01 / 03 / 06 / 11.</w:t>
      </w:r>
    </w:p>
    <w:sectPr w:rsidR="00000000" w:rsidSect="001C5724">
      <w:headerReference w:type="default" r:id="rId6"/>
      <w:footerReference w:type="default" r:id="rId7"/>
      <w:headerReference w:type="first" r:id="rId8"/>
      <w:pgSz w:w="11904" w:h="16834"/>
      <w:pgMar w:top="2030" w:right="522" w:bottom="2030" w:left="52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742F">
      <w:r>
        <w:separator/>
      </w:r>
    </w:p>
  </w:endnote>
  <w:endnote w:type="continuationSeparator" w:id="0">
    <w:p w:rsidR="00000000" w:rsidRDefault="00D8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8742F">
    <w:r>
      <w:rPr>
        <w:noProof/>
      </w:rPr>
      <mc:AlternateContent>
        <mc:Choice Requires="wps">
          <w:drawing>
            <wp:anchor distT="0" distB="0" distL="114300" distR="114300" simplePos="0" relativeHeight="251665408"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0858" id="Lin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AwwEAAGkDAAAOAAAAZHJzL2Uyb0RvYy54bWysU9uO0zAQfUfiHyy/07SFrrZR0xXqsrwU&#10;qLTLB0xtJ7GwPZbtNunfM3YvLPCGUCTL45k5PueMs3oYrWFHFaJG1/DZZMqZcgKldl3Dv788vbvn&#10;LCZwEgw61fCTivxh/fbNavC1mmOPRqrACMTFevAN71PydVVF0SsLcYJeOUq2GCwkCkNXyQADoVtT&#10;zafTu2rAIH1AoWKk08dzkq8Lftsqkb61bVSJmYYTt1TWUNZ9Xqv1CuougO+1uNCAf2BhQTu69Ab1&#10;CAnYIei/oKwWASO2aSLQVti2WqiigdTMpn+oee7Bq6KFzIn+ZlP8f7Di63EXmJYNf8+ZA0sj2mqn&#10;2CI7M/hYU8HG7ULWJkb37LcofkTmcNOD61Rh+HLy1DbLHdVvLTmInvD3wxeUVAOHhMWmsQ02Q5IB&#10;bCzTON2mocbEBB3eLT/M7uc0NHHNVVBfG32I6bNCy/Km4YY4F2A4bmPKRKC+luR7HD5pY8qwjWND&#10;w5eL+aI0RDRa5mQui6Hbb0xgR6Dn8nGZv6KKMq/LAh6cLGC9Avnpsk+gzXlPlxt3MSPrPzu5R3na&#10;hatJNM/C8vL28oN5HZfuX3/I+icAAAD//wMAUEsDBBQABgAIAAAAIQAYEONi3gAAAA0BAAAPAAAA&#10;ZHJzL2Rvd25yZXYueG1sTI9NS8NAEIbvgv9hGcFbuxujtcZsigheFIRUKfS2yY5JdD/C7qaN/97p&#10;QfQ47zy8H+VmtoYdMMTBOwnZUgBD13o9uE7C+9vTYg0sJuW0Mt6hhG+MsKnOz0pVaH90NR62qWNk&#10;4mKhJPQpjQXnse3Rqrj0Izr6ffhgVaIzdFwHdSRza/iVECtu1eAooVcjPvbYfm0nK2H9vLN1uFV7&#10;YU0eb5rXZqo/X6S8vJgf7oElnNMfDKf6VB0q6tT4yenIjIRFdk0k6fkqp1EnQtxltKb51XhV8v8r&#10;qh8AAAD//wMAUEsBAi0AFAAGAAgAAAAhALaDOJL+AAAA4QEAABMAAAAAAAAAAAAAAAAAAAAAAFtD&#10;b250ZW50X1R5cGVzXS54bWxQSwECLQAUAAYACAAAACEAOP0h/9YAAACUAQAACwAAAAAAAAAAAAAA&#10;AAAvAQAAX3JlbHMvLnJlbHNQSwECLQAUAAYACAAAACEAzftHQMMBAABpAwAADgAAAAAAAAAAAAAA&#10;AAAuAgAAZHJzL2Uyb0RvYy54bWxQSwECLQAUAAYACAAAACEAGBDjYt4AAAANAQAADwAAAAAAAAAA&#10;AAAAAAAdBAAAZHJzL2Rvd25yZXYueG1sUEsFBgAAAAAEAAQA8wAAACg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742F">
      <w:r>
        <w:separator/>
      </w:r>
    </w:p>
  </w:footnote>
  <w:footnote w:type="continuationSeparator" w:id="0">
    <w:p w:rsidR="00000000" w:rsidRDefault="00D8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8742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Dated 15/10/2018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8742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PLAST PF TRASPARENTE TRANSFER PLUS</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Printed on 27/11/2019</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 xml:space="preserve">Page n. </w:t>
          </w:r>
          <w:r>
            <w:rPr>
              <w:rFonts w:ascii="Arial" w:hAnsi="Arial"/>
              <w:color w:val="000000"/>
              <w:sz w:val="12"/>
              <w:szCs w:val="22"/>
              <w:lang w:eastAsia="en-US"/>
            </w:rPr>
            <w:fldChar w:fldCharType="begin"/>
          </w:r>
          <w:r>
            <w:rPr>
              <w:rFonts w:ascii="Arial" w:hAnsi="Arial"/>
              <w:color w:val="000000"/>
              <w:sz w:val="12"/>
              <w:szCs w:val="22"/>
              <w:lang w:eastAsia="en-US"/>
            </w:rPr>
            <w:instrText xml:space="preserve">PAGE \* MERGEFORMAT </w:instrText>
          </w:r>
          <w:r>
            <w:rPr>
              <w:rFonts w:ascii="Arial" w:hAnsi="Arial"/>
              <w:color w:val="000000"/>
              <w:sz w:val="12"/>
              <w:szCs w:val="22"/>
              <w:lang w:eastAsia="en-US"/>
            </w:rPr>
            <w:fldChar w:fldCharType="end"/>
          </w:r>
          <w:r>
            <w:rPr>
              <w:rFonts w:ascii="Arial" w:hAnsi="Arial"/>
              <w:color w:val="000000"/>
              <w:sz w:val="12"/>
              <w:szCs w:val="22"/>
              <w:lang w:eastAsia="en-US"/>
            </w:rPr>
            <w:t>/</w:t>
          </w:r>
          <w:r>
            <w:rPr>
              <w:rFonts w:ascii="Arial" w:hAnsi="Arial"/>
              <w:color w:val="000000"/>
              <w:sz w:val="12"/>
              <w:szCs w:val="22"/>
              <w:lang w:eastAsia="en-US"/>
            </w:rPr>
            <w:fldChar w:fldCharType="begin"/>
          </w:r>
          <w:r>
            <w:rPr>
              <w:rFonts w:ascii="Arial" w:hAnsi="Arial"/>
              <w:color w:val="000000"/>
              <w:sz w:val="12"/>
              <w:szCs w:val="22"/>
              <w:lang w:eastAsia="en-US"/>
            </w:rPr>
            <w:instrText>NUMPAGES \</w:instrText>
          </w:r>
          <w:r>
            <w:rPr>
              <w:rFonts w:ascii="Arial" w:hAnsi="Arial"/>
              <w:color w:val="000000"/>
              <w:sz w:val="12"/>
              <w:szCs w:val="22"/>
              <w:lang w:eastAsia="en-US"/>
            </w:rPr>
            <w:instrText xml:space="preserve">* MERGEFORMAT </w:instrText>
          </w:r>
          <w:r>
            <w:rPr>
              <w:rFonts w:ascii="Arial" w:hAnsi="Arial"/>
              <w:color w:val="000000"/>
              <w:sz w:val="12"/>
              <w:szCs w:val="22"/>
              <w:lang w:eastAsia="en-US"/>
            </w:rPr>
            <w:fldChar w:fldCharType="end"/>
          </w:r>
        </w:p>
      </w:tc>
    </w:tr>
    <w:tr w:rsidR="00000000">
      <w:tblPrEx>
        <w:tblCellMar>
          <w:top w:w="0" w:type="dxa"/>
          <w:bottom w:w="0" w:type="dxa"/>
        </w:tblCellMar>
      </w:tblPrEx>
      <w:tc>
        <w:tcPr>
          <w:tcW w:w="8278" w:type="dxa"/>
          <w:tcBorders>
            <w:left w:val="single" w:sz="6" w:space="0" w:color="auto"/>
            <w:bottom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Replaced revision:2 (Dated: 30/01/2018)</w:t>
          </w:r>
        </w:p>
      </w:tc>
    </w:tr>
  </w:tbl>
  <w:p w:rsidR="00000000" w:rsidRDefault="00D8742F">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DD30"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X6wQEAAGkDAAAOAAAAZHJzL2Uyb0RvYy54bWysU9uO2yAQfa/Uf0C8N85FqTZWnNUq2+1L&#10;2kba7QdMANuomEFAYufvO+Ak223fqpUlxAxnDufM4PX90Bl2Uj5otBWfTaacKStQattU/OfL06c7&#10;zkIEK8GgVRU/q8DvNx8/rHtXqjm2aKTyjEhsKHtX8TZGVxZFEK3qIEzQKUuHNfoOIoW+KaSHntg7&#10;U8yn089Fj146j0KFQNnH8ZBvMn9dKxF/1HVQkZmKk7aYV5/XQ1qLzRrKxoNrtbjIgP9Q0YG2dOmN&#10;6hEisKPX/1B1WngMWMeJwK7AutZCZQ/kZjb9y81zC05lL9Sc4G5tCu9HK76f9p5pWfElZxY6GtFO&#10;W8VmqTO9CyUBtnbvkzcx2Ge3Q/ErMIvbFmyjssKXs6OyXFG8KUlBcMR/6L+hJAwcI+Y2DbXvEiU1&#10;gA15GufbNNQQmRiTgrJ3q+lisVgmPQWU10LnQ/yqsGNpU3FDmjMxnHYhjtArJN1j8Ukbk4dtLOsr&#10;vlrOl7kgoNEyHSZY8M1hazw7AT2Xh1X6Lve+gXk8WpnJWgXyy2UfQZtxTzqNJblX/2MnDyjPe5+0&#10;pTzNMxu6vL30YP6MM+r1D9n8BgAA//8DAFBLAwQUAAYACAAAACEA+o20Wt8AAAAKAQAADwAAAGRy&#10;cy9kb3ducmV2LnhtbEyPTU/DMAyG70j8h8hI3LakFLZRmk4IiQtISB1oEje3CW0hH1WSbuXfY3aB&#10;k2X70evH5Xa2hh10iIN3ErKlAKZd69XgOglvr4+LDbCY0Ck03mkJ3zrCtjo/K7FQ/uhqfdiljlGI&#10;iwVK6FMaC85j22uLcelH7Wj34YPFRG3ouAp4pHBr+JUQK25xcHShx1E/9Lr92k1WwuZpb+uwxndh&#10;TR5vmpdmqj+fpby8mO/vgCU9pz8YfvVJHSpyavzkVGRGwiK7JpJqfpsBI+A0aAjMV7kAXpX8/wvV&#10;DwAAAP//AwBQSwECLQAUAAYACAAAACEAtoM4kv4AAADhAQAAEwAAAAAAAAAAAAAAAAAAAAAAW0Nv&#10;bnRlbnRfVHlwZXNdLnhtbFBLAQItABQABgAIAAAAIQA4/SH/1gAAAJQBAAALAAAAAAAAAAAAAAAA&#10;AC8BAABfcmVscy8ucmVsc1BLAQItABQABgAIAAAAIQCi5DX6wQEAAGkDAAAOAAAAAAAAAAAAAAAA&#10;AC4CAABkcnMvZTJvRG9jLnhtbFBLAQItABQABgAIAAAAIQD6jbRa3wAAAAoBAAAPAAAAAAAAAAAA&#10;AAAAABsEAABkcnMvZG93bnJldi54bWxQSwUGAAAAAAQABADzAAAAJwU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275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wgEAAGkDAAAOAAAAZHJzL2Uyb0RvYy54bWysU8Fu2zAMvQ/YPwi6L3aSZWiMOMWQrrtk&#10;W4C2H8BIsi1MFgVJiZO/H6U42brdisGAIIrk4+Mjvbo/9YYdlQ8abc2nk5IzZQVKbduavzw/frjj&#10;LESwEgxaVfOzCvx+/f7danCVmmGHRirPCMSGanA172J0VVEE0akewgSdsuRs0PcQyfRtIT0MhN6b&#10;YlaWn4oBvXQehQqBXh8uTr7O+E2jRPzRNEFFZmpO3GI+fT736SzWK6haD67TYqQBb2DRg7ZU9Ab1&#10;ABHYwet/oHotPAZs4kRgX2DTaKFyD9TNtPyrm6cOnMq9kDjB3WQK/w9WfD/uPNOy5h85s9DTiLba&#10;KjZLygwuVBSwsTufehMn++S2KH4GZnHTgW1VZvh8dpQ2TRnFq5RkBEf4++EbSoqBQ8Qs06nxfYIk&#10;AdgpT+N8m4Y6RSYuj4Je75blfD5fZHSoronOh/hVYc/SpeaGOGdgOG5DTESguoakOhYftTF52May&#10;oebLxWyREwIaLZMzhQXf7jfGsyPQunxepm+s+yrM48HKDNYpkF/GewRtLncqbuwoRur/ouQe5Xnn&#10;ryLRPDPLcffSwvxp5+zff8j6FwAAAP//AwBQSwMEFAAGAAgAAAAhABRTkI3fAAAADgEAAA8AAABk&#10;cnMvZG93bnJldi54bWxMj0FLxDAQhe+C/yGM4G03WYvrbrfpIoIXBaGrCN7SJttWk0lJ0t36753i&#10;QW/vzTzefFPsJ2fZyYTYe5SwWgpgBhuve2wlvL0+LjbAYlKolfVoJHybCPvy8qJQufZnrMzpkFpG&#10;JRhzJaFLacg5j01nnIpLPxik3dEHpxLZ0HId1JnKneU3Qqy5Uz3ShU4N5qEzzddhdBI2T++uCnfq&#10;Qzibxdv6pR6rz2cpr6+m+x2wZKb0F4YZn9ChJKbaj6gjs+TFdruirIRFNos58juqSWXrTAAvC/7/&#10;jfIHAAD//wMAUEsBAi0AFAAGAAgAAAAhALaDOJL+AAAA4QEAABMAAAAAAAAAAAAAAAAAAAAAAFtD&#10;b250ZW50X1R5cGVzXS54bWxQSwECLQAUAAYACAAAACEAOP0h/9YAAACUAQAACwAAAAAAAAAAAAAA&#10;AAAvAQAAX3JlbHMvLnJlbHNQSwECLQAUAAYACAAAACEAr9fv0sIBAABpAwAADgAAAAAAAAAAAAAA&#10;AAAuAgAAZHJzL2Uyb0RvYy54bWxQSwECLQAUAAYACAAAACEAFFOQjd8AAAAOAQAADwAAAAAAAAAA&#10;AAAAAAAcBAAAZHJzL2Rvd25yZXYueG1sUEsFBgAAAAAEAAQA8wAAACgFAAAAAA==&#10;" o:allowincell="f" strokecolor="#a9a9a9">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8742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Dated 15/10/2018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8742F">
          <w:pPr>
            <w:tabs>
              <w:tab w:val="center" w:pos="4819"/>
              <w:tab w:val="right" w:pos="9638"/>
            </w:tabs>
            <w:jc w:val="center"/>
            <w:rPr>
              <w:sz w:val="22"/>
              <w:szCs w:val="22"/>
              <w:lang w:eastAsia="en-US"/>
            </w:rPr>
          </w:pPr>
          <w:r>
            <w:rPr>
              <w:sz w:val="22"/>
              <w:szCs w:val="22"/>
              <w:lang w:eastAsia="en-US"/>
            </w:rPr>
            <w:t xml:space="preserve"> </w:t>
          </w:r>
          <w:r>
            <w:rPr>
              <w:rFonts w:ascii="Arial" w:hAnsi="Arial"/>
              <w:b/>
              <w:color w:val="000000"/>
              <w:szCs w:val="22"/>
              <w:lang w:eastAsia="en-US"/>
            </w:rPr>
            <w:t>PLAST PF TRASPARENTE TRANSFER PLUS</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Printed on 27/11/2019</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 xml:space="preserve">Page n. </w:t>
          </w:r>
          <w:r>
            <w:rPr>
              <w:rFonts w:ascii="Arial" w:hAnsi="Arial"/>
              <w:color w:val="000000"/>
              <w:sz w:val="12"/>
              <w:szCs w:val="22"/>
              <w:lang w:eastAsia="en-US"/>
            </w:rPr>
            <w:fldChar w:fldCharType="begin"/>
          </w:r>
          <w:r>
            <w:rPr>
              <w:rFonts w:ascii="Arial" w:hAnsi="Arial"/>
              <w:color w:val="000000"/>
              <w:sz w:val="12"/>
              <w:szCs w:val="22"/>
              <w:lang w:eastAsia="en-US"/>
            </w:rPr>
            <w:instrText xml:space="preserve">PAGE \* MERGEFORMAT </w:instrText>
          </w:r>
          <w:r>
            <w:rPr>
              <w:rFonts w:ascii="Arial" w:hAnsi="Arial"/>
              <w:color w:val="000000"/>
              <w:sz w:val="12"/>
              <w:szCs w:val="22"/>
              <w:lang w:eastAsia="en-US"/>
            </w:rPr>
            <w:fldChar w:fldCharType="end"/>
          </w:r>
          <w:r>
            <w:rPr>
              <w:rFonts w:ascii="Arial" w:hAnsi="Arial"/>
              <w:color w:val="000000"/>
              <w:sz w:val="12"/>
              <w:szCs w:val="22"/>
              <w:lang w:eastAsia="en-US"/>
            </w:rPr>
            <w:t>/</w:t>
          </w:r>
          <w:r>
            <w:rPr>
              <w:rFonts w:ascii="Arial" w:hAnsi="Arial"/>
              <w:color w:val="000000"/>
              <w:sz w:val="12"/>
              <w:szCs w:val="22"/>
              <w:lang w:eastAsia="en-US"/>
            </w:rPr>
            <w:fldChar w:fldCharType="begin"/>
          </w:r>
          <w:r>
            <w:rPr>
              <w:rFonts w:ascii="Arial" w:hAnsi="Arial"/>
              <w:color w:val="000000"/>
              <w:sz w:val="12"/>
              <w:szCs w:val="22"/>
              <w:lang w:eastAsia="en-US"/>
            </w:rPr>
            <w:instrText xml:space="preserve">NUMPAGES \* MERGEFORMAT </w:instrText>
          </w:r>
          <w:r>
            <w:rPr>
              <w:rFonts w:ascii="Arial" w:hAnsi="Arial"/>
              <w:color w:val="000000"/>
              <w:sz w:val="12"/>
              <w:szCs w:val="22"/>
              <w:lang w:eastAsia="en-US"/>
            </w:rPr>
            <w:fldChar w:fldCharType="end"/>
          </w:r>
        </w:p>
      </w:tc>
    </w:tr>
    <w:tr w:rsidR="00000000">
      <w:tblPrEx>
        <w:tblCellMar>
          <w:top w:w="0" w:type="dxa"/>
          <w:bottom w:w="0" w:type="dxa"/>
        </w:tblCellMar>
      </w:tblPrEx>
      <w:tc>
        <w:tcPr>
          <w:tcW w:w="8278" w:type="dxa"/>
          <w:tcBorders>
            <w:left w:val="single" w:sz="6" w:space="0" w:color="auto"/>
            <w:bottom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sz w:val="22"/>
              <w:szCs w:val="22"/>
              <w:lang w:eastAsia="en-US"/>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D8742F">
          <w:pPr>
            <w:tabs>
              <w:tab w:val="center" w:pos="4819"/>
              <w:tab w:val="right" w:pos="9638"/>
            </w:tabs>
            <w:rPr>
              <w:sz w:val="22"/>
              <w:szCs w:val="22"/>
              <w:lang w:eastAsia="en-US"/>
            </w:rPr>
          </w:pPr>
          <w:r>
            <w:rPr>
              <w:rFonts w:ascii="Arial" w:hAnsi="Arial"/>
              <w:color w:val="000000"/>
              <w:sz w:val="12"/>
              <w:szCs w:val="22"/>
              <w:lang w:eastAsia="en-US"/>
            </w:rPr>
            <w:t>Replaced revision:2 (Dated: 30/01/2018)</w:t>
          </w:r>
        </w:p>
      </w:tc>
    </w:tr>
  </w:tbl>
  <w:p w:rsidR="00000000" w:rsidRDefault="00D8742F">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-248285</wp:posOffset>
              </wp:positionV>
              <wp:extent cx="0" cy="89033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02C7"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7gwQEAAGkDAAAOAAAAZHJzL2Uyb0RvYy54bWysU9tu2zAMfR+wfxD0vthJkKEx4hRFuu4l&#10;2wK0+wBGkm1hsihISuz8/Sjl0nV7GwoDgiiSh4eH9Op+7A07Kh802ppPJyVnygqU2rY1//ny9OmO&#10;sxDBSjBoVc1PKvD79ccPq8FVaoYdGqk8IxAbqsHVvIvRVUURRKd6CBN0ypKzQd9DJNO3hfQwEHpv&#10;illZfi4G9NJ5FCoEen08O/k64zeNEvFH0wQVmak5cYv59Pncp7NYr6BqPbhOiwsN+A8WPWhLRW9Q&#10;jxCBHbz+B6rXwmPAJk4E9gU2jRYq90DdTMu/unnuwKncC4kT3E2m8H6w4vtx55mWNZ9xZqGnEW21&#10;VWyelBlcqChgY3c+9SZG++y2KH4FZnHTgW1VZvhycpQ2TRnFm5RkBEf4++EbSoqBQ8Qs09j4PkGS&#10;AGzM0zjdpqHGyMT5UdDr3bKcz+eLjA7VNdH5EL8q7Fm61NwQ5wwMx22IiQhU15BUx+KTNiYP21g2&#10;1Hy5mC1yQkCjZXKmsODb/cZ4dgRal4dl+i5134R5PFiZwToF8svlHkGb852KG3sRI/V/VnKP8rTz&#10;V5FonpnlZffSwvxp5+zXP2T9GwAA//8DAFBLAwQUAAYACAAAACEA+o20Wt8AAAAKAQAADwAAAGRy&#10;cy9kb3ducmV2LnhtbEyPTU/DMAyG70j8h8hI3LakFLZRmk4IiQtISB1oEje3CW0hH1WSbuXfY3aB&#10;k2X70evH5Xa2hh10iIN3ErKlAKZd69XgOglvr4+LDbCY0Ck03mkJ3zrCtjo/K7FQ/uhqfdiljlGI&#10;iwVK6FMaC85j22uLcelH7Wj34YPFRG3ouAp4pHBr+JUQK25xcHShx1E/9Lr92k1WwuZpb+uwxndh&#10;TR5vmpdmqj+fpby8mO/vgCU9pz8YfvVJHSpyavzkVGRGwiK7JpJqfpsBI+A0aAjMV7kAXpX8/wvV&#10;DwAAAP//AwBQSwECLQAUAAYACAAAACEAtoM4kv4AAADhAQAAEwAAAAAAAAAAAAAAAAAAAAAAW0Nv&#10;bnRlbnRfVHlwZXNdLnhtbFBLAQItABQABgAIAAAAIQA4/SH/1gAAAJQBAAALAAAAAAAAAAAAAAAA&#10;AC8BAABfcmVscy8ucmVsc1BLAQItABQABgAIAAAAIQCh1p7gwQEAAGkDAAAOAAAAAAAAAAAAAAAA&#10;AC4CAABkcnMvZTJvRG9jLnhtbFBLAQItABQABgAIAAAAIQD6jbRa3wAAAAoBAAAPAAAAAAAAAAAA&#10;AAAAABsEAABkcnMvZG93bnJldi54bWxQSwUGAAAAAAQABADzAAAAJwUAAAAA&#10;" o:allowincell="f" strokecolor="#a9a9a9">
              <w10:wrap anchorx="margin" anchory="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053F"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pVwQEAAGkDAAAOAAAAZHJzL2Uyb0RvYy54bWysU8Fu2zAMvQ/YPwi6L3aSZWiMOMWQrrtk&#10;W4C2H8BIsi1MFgVJiZO/H6U42brdisGAIIrk4+Mjvbo/9YYdlQ8abc2nk5IzZQVKbduavzw/frjj&#10;LESwEgxaVfOzCvx+/f7danCVmmGHRirPCMSGanA172J0VVEE0akewgSdsuRs0PcQyfRtIT0MhN6b&#10;YlaWn4oBvXQehQqBXh8uTr7O+E2jRPzRNEFFZmpO3GI+fT736SzWK6haD67TYqQBb2DRg7ZU9Ab1&#10;ABHYwet/oHotPAZs4kRgX2DTaKFyD9TNtPyrm6cOnMq9kDjB3WQK/w9WfD/uPNOSZseZhZ5GtNVW&#10;sY9JmcGFigI2dudTb+Jkn9wWxc/ALG46sK3KDJ/PjtKmKaN4lZKM4Ah/P3xDSTFwiJhlOjW+T5Ak&#10;ADvlaZxv01CnyMTlUdDr3bKcz+eLjA7VNdH5EL8q7Fm61NwQ5wwMx22IiQhU15BUx+KjNiYP21g2&#10;1Hy5mC1yQkCjZXKmsODb/cZ4dgRal8/L9I11X4V5PFiZwToF8st4j6DN5U7FjR3FSP1flNyjPO/8&#10;VSSaZ2Y57l5amD/tnP37D1n/AgAA//8DAFBLAwQUAAYACAAAACEAFFOQjd8AAAAOAQAADwAAAGRy&#10;cy9kb3ducmV2LnhtbEyPQUvEMBCF74L/IYzgbTdZi+tut+kighcFoasI3tIm21aTSUnS3frvneJB&#10;b+/NPN58U+wnZ9nJhNh7lLBaCmAGG697bCW8vT4uNsBiUqiV9WgkfJsI+/LyolC59meszOmQWkYl&#10;GHMloUtpyDmPTWeciks/GKTd0QenEtnQch3Umcqd5TdCrLlTPdKFTg3moTPN12F0EjZP764Kd+pD&#10;OJvF2/qlHqvPZymvr6b7HbBkpvQXhhmf0KEkptqPqCOz5MV2u6KshEU2iznyO6pJZetMAC8L/v+N&#10;8gcAAP//AwBQSwECLQAUAAYACAAAACEAtoM4kv4AAADhAQAAEwAAAAAAAAAAAAAAAAAAAAAAW0Nv&#10;bnRlbnRfVHlwZXNdLnhtbFBLAQItABQABgAIAAAAIQA4/SH/1gAAAJQBAAALAAAAAAAAAAAAAAAA&#10;AC8BAABfcmVscy8ucmVsc1BLAQItABQABgAIAAAAIQB9iZpVwQEAAGkDAAAOAAAAAAAAAAAAAAAA&#10;AC4CAABkcnMvZTJvRG9jLnhtbFBLAQItABQABgAIAAAAIQAUU5CN3wAAAA4BAAAPAAAAAAAAAAAA&#10;AAAAABsEAABkcnMvZG93bnJldi54bWxQSwUGAAAAAAQABADzAAAAJwU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2F"/>
    <w:rsid w:val="00171DD7"/>
    <w:rsid w:val="001C5724"/>
    <w:rsid w:val="002000E3"/>
    <w:rsid w:val="002B4F1F"/>
    <w:rsid w:val="0039723C"/>
    <w:rsid w:val="007F2EBE"/>
    <w:rsid w:val="00884218"/>
    <w:rsid w:val="008D6CBD"/>
    <w:rsid w:val="00B36F51"/>
    <w:rsid w:val="00C164B5"/>
    <w:rsid w:val="00C17118"/>
    <w:rsid w:val="00D229B5"/>
    <w:rsid w:val="00D8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6CB232CF-7245-4329-AC98-DDC1C4B0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DD7DFFD0</Template>
  <TotalTime>0</TotalTime>
  <Pages>1</Pages>
  <Words>2210</Words>
  <Characters>12601</Characters>
  <Application>Microsoft Office Word</Application>
  <DocSecurity>4</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Best</dc:creator>
  <cp:keywords/>
  <dc:description>Produced by RTFGenerator. Ownership of: INFOTEC sas info@infotec-online.it</dc:description>
  <cp:lastModifiedBy>Holly Best</cp:lastModifiedBy>
  <cp:revision>2</cp:revision>
  <dcterms:created xsi:type="dcterms:W3CDTF">2019-12-04T12:21:00Z</dcterms:created>
  <dcterms:modified xsi:type="dcterms:W3CDTF">2019-12-04T12:21:00Z</dcterms:modified>
</cp:coreProperties>
</file>