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97571">
      <w:pPr>
        <w:widowControl w:val="0"/>
        <w:autoSpaceDE w:val="0"/>
        <w:autoSpaceDN w:val="0"/>
        <w:adjustRightInd w:val="0"/>
        <w:rPr>
          <w:lang w:val="en-GB" w:eastAsia="en-GB"/>
        </w:rPr>
      </w:pPr>
      <w:bookmarkStart w:id="0" w:name="_GoBack"/>
      <w:bookmarkEnd w:id="0"/>
    </w:p>
    <w:p w:rsidR="00000000" w:rsidRDefault="00097571">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09757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09757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AM1005.60A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VERDE 60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97571">
            <w:pPr>
              <w:widowControl w:val="0"/>
              <w:autoSpaceDE w:val="0"/>
              <w:autoSpaceDN w:val="0"/>
              <w:adjustRightInd w:val="0"/>
              <w:jc w:val="center"/>
              <w:rPr>
                <w:lang w:val="en-GB" w:eastAsia="en-GB"/>
              </w:rPr>
            </w:pPr>
          </w:p>
        </w:tc>
      </w:tr>
    </w:tbl>
    <w:p w:rsidR="00000000" w:rsidRDefault="0009757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097571">
      <w:pPr>
        <w:widowControl w:val="0"/>
        <w:autoSpaceDE w:val="0"/>
        <w:autoSpaceDN w:val="0"/>
        <w:adjustRightInd w:val="0"/>
        <w:jc w:val="center"/>
        <w:rPr>
          <w:lang w:val="en-GB" w:eastAsia="en-GB"/>
        </w:rPr>
      </w:pPr>
    </w:p>
    <w:p w:rsidR="00000000" w:rsidRDefault="0009757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97571">
            <w:pPr>
              <w:widowControl w:val="0"/>
              <w:autoSpaceDE w:val="0"/>
              <w:autoSpaceDN w:val="0"/>
              <w:adjustRightInd w:val="0"/>
              <w:jc w:val="center"/>
              <w:rPr>
                <w:lang w:val="en-GB" w:eastAsia="en-GB"/>
              </w:rPr>
            </w:pPr>
          </w:p>
        </w:tc>
      </w:tr>
    </w:tbl>
    <w:p w:rsidR="00000000" w:rsidRDefault="0009757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097571">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097571">
      <w:pPr>
        <w:widowControl w:val="0"/>
        <w:autoSpaceDE w:val="0"/>
        <w:autoSpaceDN w:val="0"/>
        <w:adjustRightInd w:val="0"/>
        <w:jc w:val="center"/>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w:t>
      </w:r>
      <w:r>
        <w:rPr>
          <w:rFonts w:ascii="Arial" w:hAnsi="Arial" w:cs="Arial"/>
          <w:color w:val="000000"/>
          <w:sz w:val="16"/>
          <w:szCs w:val="16"/>
          <w:lang w:val="en-GB" w:eastAsia="en-GB"/>
        </w:rPr>
        <w:t>s requires a safety datasheet that complies with the provisions of (EU) Regulation 2015/830.</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w:t>
      </w:r>
      <w:r>
        <w:rPr>
          <w:rFonts w:ascii="Arial" w:hAnsi="Arial" w:cs="Arial"/>
          <w:color w:val="000000"/>
          <w:sz w:val="16"/>
          <w:szCs w:val="16"/>
          <w:lang w:val="en-GB" w:eastAsia="en-GB"/>
        </w:rPr>
        <w: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Skin sensitization, category 1</w:t>
            </w:r>
          </w:p>
        </w:tc>
        <w:tc>
          <w:tcPr>
            <w:tcW w:w="1701"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H317</w:t>
            </w:r>
          </w:p>
        </w:tc>
        <w:tc>
          <w:tcPr>
            <w:tcW w:w="4536"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r w:rsidR="00000000">
        <w:tblPrEx>
          <w:tblCellMar>
            <w:top w:w="0" w:type="dxa"/>
            <w:bottom w:w="0" w:type="dxa"/>
          </w:tblCellMar>
        </w:tblPrEx>
        <w:tc>
          <w:tcPr>
            <w:tcW w:w="4536" w:type="dxa"/>
            <w:shd w:val="clear" w:color="auto" w:fill="FFFFFF"/>
          </w:tcPr>
          <w:p w:rsidR="00000000" w:rsidRDefault="00097571">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000000" w:rsidRDefault="00097571">
            <w:pPr>
              <w:widowControl w:val="0"/>
              <w:autoSpaceDE w:val="0"/>
              <w:autoSpaceDN w:val="0"/>
              <w:adjustRightInd w:val="0"/>
              <w:jc w:val="both"/>
              <w:rPr>
                <w:lang w:val="en-GB" w:eastAsia="en-GB"/>
              </w:rPr>
            </w:pPr>
          </w:p>
        </w:tc>
        <w:tc>
          <w:tcPr>
            <w:tcW w:w="4536" w:type="dxa"/>
            <w:shd w:val="clear" w:color="auto" w:fill="FFFFFF"/>
          </w:tcPr>
          <w:p w:rsidR="00000000" w:rsidRDefault="00097571">
            <w:pPr>
              <w:widowControl w:val="0"/>
              <w:autoSpaceDE w:val="0"/>
              <w:autoSpaceDN w:val="0"/>
              <w:adjustRightInd w:val="0"/>
              <w:jc w:val="both"/>
              <w:rPr>
                <w:lang w:val="en-GB" w:eastAsia="en-GB"/>
              </w:rPr>
            </w:pP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00000">
        <w:tblPrEx>
          <w:tblCellMar>
            <w:top w:w="0" w:type="dxa"/>
            <w:bottom w:w="0" w:type="dxa"/>
          </w:tblCellMar>
        </w:tblPrEx>
        <w:tc>
          <w:tcPr>
            <w:tcW w:w="1984" w:type="dxa"/>
            <w:gridSpan w:val="2"/>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rPr>
          <w:gridAfter w:val="1"/>
          <w:wAfter w:w="853" w:type="dxa"/>
        </w:trPr>
        <w:tc>
          <w:tcPr>
            <w:tcW w:w="1417" w:type="dxa"/>
            <w:shd w:val="clear" w:color="auto" w:fill="FFFFFF"/>
          </w:tcPr>
          <w:p w:rsidR="00000000" w:rsidRDefault="00097571">
            <w:pPr>
              <w:widowControl w:val="0"/>
              <w:autoSpaceDE w:val="0"/>
              <w:autoSpaceDN w:val="0"/>
              <w:adjustRightInd w:val="0"/>
              <w:jc w:val="both"/>
              <w:rPr>
                <w:lang w:val="en-GB" w:eastAsia="en-GB"/>
              </w:rPr>
            </w:pPr>
            <w:r>
              <w:rPr>
                <w:lang w:val="en-GB" w:eastAsia="en-GB"/>
              </w:rPr>
              <w:t xml:space="preserve"> </w:t>
            </w:r>
            <w:r>
              <w:rPr>
                <w:noProof/>
                <w:lang w:val="en-GB" w:eastAsia="en-GB"/>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8BA3"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CeOVBuEwIAADE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647700" cy="647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000000" w:rsidRDefault="00097571">
            <w:pPr>
              <w:widowControl w:val="0"/>
              <w:autoSpaceDE w:val="0"/>
              <w:autoSpaceDN w:val="0"/>
              <w:adjustRightInd w:val="0"/>
              <w:jc w:val="both"/>
              <w:rPr>
                <w:lang w:val="en-GB" w:eastAsia="en-GB"/>
              </w:rPr>
            </w:pPr>
          </w:p>
        </w:tc>
        <w:tc>
          <w:tcPr>
            <w:tcW w:w="1417" w:type="dxa"/>
            <w:shd w:val="clear" w:color="auto" w:fill="FFFFFF"/>
          </w:tcPr>
          <w:p w:rsidR="00000000" w:rsidRDefault="00097571">
            <w:pPr>
              <w:widowControl w:val="0"/>
              <w:autoSpaceDE w:val="0"/>
              <w:autoSpaceDN w:val="0"/>
              <w:adjustRightInd w:val="0"/>
              <w:jc w:val="both"/>
              <w:rPr>
                <w:lang w:val="en-GB" w:eastAsia="en-GB"/>
              </w:rPr>
            </w:pPr>
          </w:p>
        </w:tc>
        <w:tc>
          <w:tcPr>
            <w:tcW w:w="1417" w:type="dxa"/>
            <w:shd w:val="clear" w:color="auto" w:fill="FFFFFF"/>
          </w:tcPr>
          <w:p w:rsidR="00000000" w:rsidRDefault="00097571">
            <w:pPr>
              <w:widowControl w:val="0"/>
              <w:autoSpaceDE w:val="0"/>
              <w:autoSpaceDN w:val="0"/>
              <w:adjustRightInd w:val="0"/>
              <w:jc w:val="both"/>
              <w:rPr>
                <w:lang w:val="en-GB" w:eastAsia="en-GB"/>
              </w:rPr>
            </w:pPr>
          </w:p>
        </w:tc>
        <w:tc>
          <w:tcPr>
            <w:tcW w:w="1417" w:type="dxa"/>
            <w:shd w:val="clear" w:color="auto" w:fill="FFFFFF"/>
          </w:tcPr>
          <w:p w:rsidR="00000000" w:rsidRDefault="00097571">
            <w:pPr>
              <w:widowControl w:val="0"/>
              <w:autoSpaceDE w:val="0"/>
              <w:autoSpaceDN w:val="0"/>
              <w:adjustRightInd w:val="0"/>
              <w:jc w:val="both"/>
              <w:rPr>
                <w:lang w:val="en-GB" w:eastAsia="en-GB"/>
              </w:rPr>
            </w:pPr>
          </w:p>
        </w:tc>
        <w:tc>
          <w:tcPr>
            <w:tcW w:w="1417" w:type="dxa"/>
            <w:shd w:val="clear" w:color="auto" w:fill="FFFFFF"/>
          </w:tcPr>
          <w:p w:rsidR="00000000" w:rsidRDefault="00097571">
            <w:pPr>
              <w:widowControl w:val="0"/>
              <w:autoSpaceDE w:val="0"/>
              <w:autoSpaceDN w:val="0"/>
              <w:adjustRightInd w:val="0"/>
              <w:jc w:val="both"/>
              <w:rPr>
                <w:lang w:val="en-GB" w:eastAsia="en-GB"/>
              </w:rPr>
            </w:pPr>
          </w:p>
        </w:tc>
        <w:tc>
          <w:tcPr>
            <w:tcW w:w="1417" w:type="dxa"/>
            <w:shd w:val="clear" w:color="auto" w:fill="FFFFFF"/>
          </w:tcPr>
          <w:p w:rsidR="00000000" w:rsidRDefault="00097571">
            <w:pPr>
              <w:widowControl w:val="0"/>
              <w:autoSpaceDE w:val="0"/>
              <w:autoSpaceDN w:val="0"/>
              <w:adjustRightInd w:val="0"/>
              <w:jc w:val="both"/>
              <w:rPr>
                <w:lang w:val="en-GB" w:eastAsia="en-GB"/>
              </w:rPr>
            </w:pP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Warning</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H317</w:t>
            </w:r>
          </w:p>
        </w:tc>
        <w:tc>
          <w:tcPr>
            <w:tcW w:w="8788"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P261</w:t>
            </w:r>
          </w:p>
        </w:tc>
        <w:tc>
          <w:tcPr>
            <w:tcW w:w="8788"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Avoid breathing dust / fume / gas / mist / vapours / spray.</w:t>
            </w: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Wear protective gloves.</w:t>
            </w: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P333+P313</w:t>
            </w:r>
          </w:p>
        </w:tc>
        <w:tc>
          <w:tcPr>
            <w:tcW w:w="8788"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If skin irritation or rash occurs: Get medical advice / attention.</w:t>
            </w: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P362+P364</w:t>
            </w:r>
          </w:p>
        </w:tc>
        <w:tc>
          <w:tcPr>
            <w:tcW w:w="8788"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Take off contaminated clothing and wash it before reuse.</w:t>
            </w: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097571">
            <w:pPr>
              <w:widowControl w:val="0"/>
              <w:autoSpaceDE w:val="0"/>
              <w:autoSpaceDN w:val="0"/>
              <w:adjustRightInd w:val="0"/>
              <w:jc w:val="both"/>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 xml:space="preserve">REACTION </w:t>
            </w:r>
            <w:r>
              <w:rPr>
                <w:rFonts w:ascii="Arial" w:hAnsi="Arial" w:cs="Arial"/>
                <w:color w:val="000000"/>
                <w:sz w:val="16"/>
                <w:szCs w:val="16"/>
                <w:lang w:val="en-GB" w:eastAsia="en-GB"/>
              </w:rPr>
              <w:t>MASS OF: 5-CHLORO-2-METHYL-4-ISOTHIAZOLIN-3-ONE [EC NO. 247-500-7] AND 2-METHYL-2H -ISOTHIAZOL-3-ONE [EC NO. 220-239-6] (3:1)</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r>
        <w:rPr>
          <w:rFonts w:ascii="Arial" w:hAnsi="Arial" w:cs="Arial"/>
          <w:color w:val="000000"/>
          <w:sz w:val="16"/>
          <w:szCs w:val="16"/>
          <w:lang w:val="en-GB" w:eastAsia="en-GB"/>
        </w:rPr>
        <w:t>.</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PEG mono (tristirilfenil) etere</w:t>
            </w:r>
          </w:p>
        </w:tc>
        <w:tc>
          <w:tcPr>
            <w:tcW w:w="1417"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99734-09-5</w:t>
            </w:r>
          </w:p>
        </w:tc>
        <w:tc>
          <w:tcPr>
            <w:tcW w:w="141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Aquatic Chronic 3 H412</w:t>
            </w: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REACTION MASS OF: 5-CHLORO-2-METHYL-4-ISOTHIAZOLIN-3-ONE [EC NO. 247-500-7] AND 2-METHYL-2H -ISOTHIAZOL-3-ONE [EC NO. 220-239-6] (3:1)</w:t>
            </w:r>
          </w:p>
        </w:tc>
        <w:tc>
          <w:tcPr>
            <w:tcW w:w="1417"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55965-84-9</w:t>
            </w:r>
          </w:p>
        </w:tc>
        <w:tc>
          <w:tcPr>
            <w:tcW w:w="141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 xml:space="preserve">0,0015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0,06</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Acute Tox. 3 H301, Acute Tox. 3 H311, Acute Tox. 3 H331, Skin Corr. 1B H314, Eye Dam. 1 H318, Skin Sens. 1 H317, Aquatic Acute 1 H400 M=10, Aquatic Chronic 1 H410 M=1</w:t>
            </w: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611-341-5</w:t>
            </w:r>
          </w:p>
        </w:tc>
        <w:tc>
          <w:tcPr>
            <w:tcW w:w="1417"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c>
          <w:tcPr>
            <w:tcW w:w="567"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613-167-00-5</w:t>
            </w:r>
          </w:p>
        </w:tc>
        <w:tc>
          <w:tcPr>
            <w:tcW w:w="1417"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c>
          <w:tcPr>
            <w:tcW w:w="567" w:type="dxa"/>
            <w:shd w:val="clear" w:color="auto" w:fill="FFFFFF"/>
          </w:tcPr>
          <w:p w:rsidR="00000000" w:rsidRDefault="00097571">
            <w:pPr>
              <w:widowControl w:val="0"/>
              <w:autoSpaceDE w:val="0"/>
              <w:autoSpaceDN w:val="0"/>
              <w:adjustRightInd w:val="0"/>
              <w:rPr>
                <w:lang w:val="en-GB" w:eastAsia="en-GB"/>
              </w:rPr>
            </w:pP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w:t>
      </w:r>
      <w:r>
        <w:rPr>
          <w:rFonts w:ascii="Arial" w:hAnsi="Arial" w:cs="Arial"/>
          <w:color w:val="000000"/>
          <w:sz w:val="16"/>
          <w:szCs w:val="16"/>
          <w:lang w:val="en-GB" w:eastAsia="en-GB"/>
        </w:rPr>
        <w:t>mediately with plenty of water for at least 15 minutes, opening the eyelids fully. If problem persists, seek medical advice.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Rinse skin with a shower immediately. Get medical advice/attention immediately. Wash contaminat</w:t>
      </w:r>
      <w:r>
        <w:rPr>
          <w:rFonts w:ascii="Arial" w:hAnsi="Arial" w:cs="Arial"/>
          <w:color w:val="000000"/>
          <w:sz w:val="16"/>
          <w:szCs w:val="16"/>
          <w:lang w:val="en-GB" w:eastAsia="en-GB"/>
        </w:rPr>
        <w:t>ed clothing before using it again.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 immediately.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xml:space="preserve">INGESTION: Get medical advice/attention immediately. Do not induce vomiting. Do </w:t>
      </w:r>
      <w:r>
        <w:rPr>
          <w:rFonts w:ascii="Arial" w:hAnsi="Arial" w:cs="Arial"/>
          <w:color w:val="000000"/>
          <w:sz w:val="16"/>
          <w:szCs w:val="16"/>
          <w:lang w:val="en-GB" w:eastAsia="en-GB"/>
        </w:rPr>
        <w:t>not administer anything not explicitly authorised by a doctor.</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w:t>
      </w:r>
      <w:r>
        <w:rPr>
          <w:rFonts w:ascii="Arial" w:hAnsi="Arial" w:cs="Arial"/>
          <w:b/>
          <w:bCs/>
          <w:color w:val="000000"/>
          <w:sz w:val="16"/>
          <w:szCs w:val="16"/>
          <w:lang w:val="en-GB" w:eastAsia="en-GB"/>
        </w:rPr>
        <w:t>ntion and special treatment needed</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w:t>
      </w:r>
      <w:r>
        <w:rPr>
          <w:rFonts w:ascii="Arial" w:hAnsi="Arial" w:cs="Arial"/>
          <w:color w:val="000000"/>
          <w:sz w:val="16"/>
          <w:szCs w:val="16"/>
          <w:lang w:val="en-GB" w:eastAsia="en-GB"/>
        </w:rPr>
        <w:t>tional kind: carbon dioxide, foam, powder and water spray.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w:t>
      </w:r>
      <w:r>
        <w:rPr>
          <w:rFonts w:ascii="Arial" w:hAnsi="Arial" w:cs="Arial"/>
          <w:color w:val="000000"/>
          <w:sz w:val="16"/>
          <w:szCs w:val="16"/>
          <w:lang w:val="en-GB" w:eastAsia="en-GB"/>
        </w:rPr>
        <w:t>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wear full fire prevention gear. Collect extinguishing</w:t>
      </w:r>
      <w:r>
        <w:rPr>
          <w:rFonts w:ascii="Arial" w:hAnsi="Arial" w:cs="Arial"/>
          <w:color w:val="000000"/>
          <w:sz w:val="16"/>
          <w:szCs w:val="16"/>
          <w:lang w:val="en-GB" w:eastAsia="en-GB"/>
        </w:rPr>
        <w:t xml:space="preserve"> water to prevent it from draining into the sewer system. Dispose of contaminated water used for extinction and the remains of the fire according to applicable regulations.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w:t>
      </w:r>
      <w:r>
        <w:rPr>
          <w:rFonts w:ascii="Arial" w:hAnsi="Arial" w:cs="Arial"/>
          <w:color w:val="000000"/>
          <w:sz w:val="16"/>
          <w:szCs w:val="16"/>
          <w:lang w:val="en-GB" w:eastAsia="en-GB"/>
        </w:rPr>
        <w:t>ire kit (BS EN 469), gloves (BS EN 659) and boots (HO specification A29 and A30) in combination with self-contained open circuit positive pressure compressed air breathing apparatus (BS EN 137).</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w:t>
      </w:r>
      <w:r>
        <w:rPr>
          <w:rFonts w:ascii="Arial" w:hAnsi="Arial" w:cs="Arial"/>
          <w:color w:val="000000"/>
          <w:sz w:val="16"/>
          <w:szCs w:val="16"/>
          <w:lang w:val="en-GB" w:eastAsia="en-GB"/>
        </w:rPr>
        <w:t>any contamination of skin, eyes and personal clothing. These indications apply for both processing staff and those involved in emergency procedures.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product must not penetrate into the sewer system or come into contact </w:t>
      </w:r>
      <w:r>
        <w:rPr>
          <w:rFonts w:ascii="Arial" w:hAnsi="Arial" w:cs="Arial"/>
          <w:color w:val="000000"/>
          <w:sz w:val="16"/>
          <w:szCs w:val="16"/>
          <w:lang w:val="en-GB" w:eastAsia="en-GB"/>
        </w:rPr>
        <w:t>with surface water or ground water.</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Evaluate the compatibility of the container to</w:t>
      </w:r>
      <w:r>
        <w:rPr>
          <w:rFonts w:ascii="Arial" w:hAnsi="Arial" w:cs="Arial"/>
          <w:color w:val="000000"/>
          <w:sz w:val="16"/>
          <w:szCs w:val="16"/>
          <w:lang w:val="en-GB" w:eastAsia="en-GB"/>
        </w:rPr>
        <w:t xml:space="preserve"> be used, by checking section 10. Absorb the remainder with inert absorbent material.</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compliance with the provisions set forth in point 13.</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w:t>
      </w:r>
      <w:r>
        <w:rPr>
          <w:rFonts w:ascii="Arial" w:hAnsi="Arial" w:cs="Arial"/>
          <w:b/>
          <w:bCs/>
          <w:color w:val="000000"/>
          <w:sz w:val="16"/>
          <w:szCs w:val="16"/>
          <w:lang w:val="en-GB" w:eastAsia="en-GB"/>
        </w:rPr>
        <w:t>ctions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heat, sparks and naked flames; do not smoke or use matches or lighters. Without adequate ventilation, vapours may accumulate at ground level and, if ignited, catch fire even at a distance, with the danger of backfire. Avoid bunching of elect</w:t>
      </w:r>
      <w:r>
        <w:rPr>
          <w:rFonts w:ascii="Arial" w:hAnsi="Arial" w:cs="Arial"/>
          <w:color w:val="000000"/>
          <w:sz w:val="16"/>
          <w:szCs w:val="16"/>
          <w:lang w:val="en-GB" w:eastAsia="en-GB"/>
        </w:rPr>
        <w:t>rostatic charges. Do not eat, drink or smoke during use. Remove any contaminated clothes and personal protective equipment before entering places in which people eat. Avoid leakage of the product into the environment.</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w:t>
      </w:r>
      <w:r>
        <w:rPr>
          <w:rFonts w:ascii="Arial" w:hAnsi="Arial" w:cs="Arial"/>
          <w:b/>
          <w:bCs/>
          <w:color w:val="000000"/>
          <w:sz w:val="16"/>
          <w:szCs w:val="16"/>
          <w:lang w:val="en-GB" w:eastAsia="en-GB"/>
        </w:rPr>
        <w:t>luding any incompatibilities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Store in a well ventilated place, keep far away from sources of heat, naked flames and sparks and other sources of ignition. Keep containers away from any incompatible materials, see secti</w:t>
      </w:r>
      <w:r>
        <w:rPr>
          <w:rFonts w:ascii="Arial" w:hAnsi="Arial" w:cs="Arial"/>
          <w:color w:val="000000"/>
          <w:sz w:val="16"/>
          <w:szCs w:val="16"/>
          <w:lang w:val="en-GB" w:eastAsia="en-GB"/>
        </w:rPr>
        <w:t xml:space="preserve">on 10 for details. </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an emergency shower with face and eye wash station.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w:t>
      </w:r>
      <w:r>
        <w:rPr>
          <w:rFonts w:ascii="Arial" w:hAnsi="Arial" w:cs="Arial"/>
          <w:color w:val="000000"/>
          <w:sz w:val="16"/>
          <w:szCs w:val="16"/>
          <w:lang w:val="en-GB" w:eastAsia="en-GB"/>
        </w:rPr>
        <w:t>rd EN 374).</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should be considered when choosing work glove material: compatibility, degradation, failure time and permeability.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w:t>
      </w:r>
      <w:r>
        <w:rPr>
          <w:rFonts w:ascii="Arial" w:hAnsi="Arial" w:cs="Arial"/>
          <w:color w:val="000000"/>
          <w:sz w:val="16"/>
          <w:szCs w:val="16"/>
          <w:lang w:val="en-GB" w:eastAsia="en-GB"/>
        </w:rPr>
        <w:t>' wear time depends on the duration and type of use.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II professional long-sleeved overalls and safety footwear (see Directive 89/686/EEC and standard EN ISO 20344). Wash body with soap and water after removing protective clot</w:t>
      </w:r>
      <w:r>
        <w:rPr>
          <w:rFonts w:ascii="Arial" w:hAnsi="Arial" w:cs="Arial"/>
          <w:color w:val="000000"/>
          <w:sz w:val="16"/>
          <w:szCs w:val="16"/>
          <w:lang w:val="en-GB" w:eastAsia="en-GB"/>
        </w:rPr>
        <w:t>hing.</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ENVIRONMENTAL EXPOSURE CONTROLS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green</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8-10</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miscible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3,00 %</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0,04 %</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0,02 %</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w:t>
      </w:r>
      <w:r>
        <w:rPr>
          <w:rFonts w:ascii="Arial" w:hAnsi="Arial" w:cs="Arial"/>
          <w:color w:val="000000"/>
          <w:sz w:val="16"/>
          <w:szCs w:val="16"/>
          <w:lang w:val="en-GB" w:eastAsia="en-GB"/>
        </w:rPr>
        <w:t>autions used for chemical products should be respected.</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w:t>
      </w:r>
      <w:r>
        <w:rPr>
          <w:rFonts w:ascii="Arial" w:hAnsi="Arial" w:cs="Arial"/>
          <w:color w:val="000000"/>
          <w:sz w:val="16"/>
          <w:szCs w:val="16"/>
          <w:u w:val="single"/>
          <w:lang w:val="en-GB" w:eastAsia="en-GB"/>
        </w:rPr>
        <w:t>ts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w:t>
      </w:r>
      <w:r>
        <w:rPr>
          <w:rFonts w:ascii="Arial" w:hAnsi="Arial" w:cs="Arial"/>
          <w:color w:val="000000"/>
          <w:sz w:val="16"/>
          <w:szCs w:val="16"/>
          <w:lang w:val="en-GB" w:eastAsia="en-GB"/>
        </w:rPr>
        <w:t>Not classified (no significant component)</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REACTION MASS OF: 5-CHLORO-2-METHYL-4-ISOTHIAZOLIN-3-ONE [EC NO. 247-500-7] AND 2-METHYL-2H -ISOTHIAZOL-3-ONE [EC NO. 220-239-6] (3:1)</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1665 mg/kg ratto</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ratto</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w:t>
      </w:r>
      <w:r>
        <w:rPr>
          <w:rFonts w:ascii="Arial" w:hAnsi="Arial" w:cs="Arial"/>
          <w:color w:val="000000"/>
          <w:sz w:val="16"/>
          <w:szCs w:val="16"/>
          <w:lang w:val="en-GB" w:eastAsia="en-GB"/>
        </w:rPr>
        <w:t>tion) 1,98 mg/l ratto</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Sensi</w:t>
      </w:r>
      <w:r>
        <w:rPr>
          <w:rFonts w:ascii="Arial" w:hAnsi="Arial" w:cs="Arial"/>
          <w:color w:val="000000"/>
          <w:sz w:val="16"/>
          <w:szCs w:val="16"/>
          <w:lang w:val="en-GB" w:eastAsia="en-GB"/>
        </w:rPr>
        <w:t>tising for the skin</w:t>
      </w: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specific data are available for</w:t>
      </w:r>
      <w:r>
        <w:rPr>
          <w:rFonts w:ascii="Arial" w:hAnsi="Arial" w:cs="Arial"/>
          <w:color w:val="000000"/>
          <w:sz w:val="16"/>
          <w:szCs w:val="16"/>
          <w:lang w:val="en-GB" w:eastAsia="en-GB"/>
        </w:rPr>
        <w:t xml:space="preserve"> this product. Handle it according to good working practices. Avoid littering. Do not contaminate soil and waterways. Inform the competent authorities, should the product reach waterways or contaminate soil or vegetation. Please take all the proper measure</w:t>
      </w:r>
      <w:r>
        <w:rPr>
          <w:rFonts w:ascii="Arial" w:hAnsi="Arial" w:cs="Arial"/>
          <w:color w:val="000000"/>
          <w:sz w:val="16"/>
          <w:szCs w:val="16"/>
          <w:lang w:val="en-GB" w:eastAsia="en-GB"/>
        </w:rPr>
        <w:t>s to reduce harmful effects on aquifers.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REACTION MASS OF: 5-CHLORO-2-METHYL-4-ISOTHIAZOLIN-3-ONE [EC NO. 247-500-7] AND 2-METHYL-2H -ISOTHIAZOL-3-ONE [EC NO. 220-239-6] (3:1)</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0,22 mg/l/96h Oncorhynchus mykiss</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0,12 mg/l/48h Daphnia magna</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0,048 mg/l/72h Pseudokirchneriella sucapitata</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Fish</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0,098 mg/l</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Crustacea</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0,004 mg/l</w:t>
            </w:r>
          </w:p>
        </w:tc>
      </w:tr>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Algae / Aquatic Plants</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0,0012 mg/l</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REACTION MASS OF: 5-CHLORO-2-METHYL-4-ISOTHIAZOLIN-3-ONE [EC NO. 247-500-7] AND 2-METHYL-2H -ISOTHIAZOL-3-ONE [EC NO. 220-239-6] (3:1)</w:t>
            </w:r>
          </w:p>
        </w:tc>
        <w:tc>
          <w:tcPr>
            <w:tcW w:w="1134" w:type="dxa"/>
            <w:shd w:val="clear" w:color="auto" w:fill="FFFFFF"/>
          </w:tcPr>
          <w:p w:rsidR="00000000" w:rsidRDefault="00097571">
            <w:pPr>
              <w:widowControl w:val="0"/>
              <w:autoSpaceDE w:val="0"/>
              <w:autoSpaceDN w:val="0"/>
              <w:adjustRightInd w:val="0"/>
              <w:rPr>
                <w:lang w:val="en-GB" w:eastAsia="en-GB"/>
              </w:rPr>
            </w:pPr>
          </w:p>
        </w:tc>
        <w:tc>
          <w:tcPr>
            <w:tcW w:w="5670" w:type="dxa"/>
            <w:shd w:val="clear" w:color="auto" w:fill="FFFFFF"/>
          </w:tcPr>
          <w:p w:rsidR="00000000" w:rsidRDefault="00097571">
            <w:pPr>
              <w:widowControl w:val="0"/>
              <w:autoSpaceDE w:val="0"/>
              <w:autoSpaceDN w:val="0"/>
              <w:adjustRightInd w:val="0"/>
              <w:rPr>
                <w:lang w:val="en-GB" w:eastAsia="en-GB"/>
              </w:rPr>
            </w:pPr>
          </w:p>
        </w:tc>
      </w:tr>
    </w:tbl>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considered special hazardous waste. The hazard level of waste containing this product s</w:t>
      </w:r>
      <w:r>
        <w:rPr>
          <w:rFonts w:ascii="Arial" w:hAnsi="Arial" w:cs="Arial"/>
          <w:color w:val="000000"/>
          <w:sz w:val="16"/>
          <w:szCs w:val="16"/>
          <w:lang w:val="en-GB" w:eastAsia="en-GB"/>
        </w:rPr>
        <w:t>hould be evaluated according to applicable regulations.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must be recovered or disposed </w:t>
      </w:r>
      <w:r>
        <w:rPr>
          <w:rFonts w:ascii="Arial" w:hAnsi="Arial" w:cs="Arial"/>
          <w:color w:val="000000"/>
          <w:sz w:val="16"/>
          <w:szCs w:val="16"/>
          <w:lang w:val="en-GB" w:eastAsia="en-GB"/>
        </w:rPr>
        <w:t>of in compliance with national waste management regulations.</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w:t>
      </w:r>
      <w:r>
        <w:rPr>
          <w:rFonts w:ascii="Arial" w:hAnsi="Arial" w:cs="Arial"/>
          <w:color w:val="000000"/>
          <w:sz w:val="16"/>
          <w:szCs w:val="16"/>
          <w:lang w:val="en-GB" w:eastAsia="en-GB"/>
        </w:rPr>
        <w:t>national Maritime Dangerous Goods Code (IMDG), and of the International Air Transport Association (IATA) regulations.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w:t>
      </w:r>
      <w:r>
        <w:rPr>
          <w:rFonts w:ascii="Arial" w:hAnsi="Arial" w:cs="Arial"/>
          <w:color w:val="000000"/>
          <w:sz w:val="16"/>
          <w:szCs w:val="16"/>
          <w:u w:val="single"/>
          <w:lang w:val="en-GB" w:eastAsia="en-GB"/>
        </w:rPr>
        <w:t xml:space="preserve"> to Annex XVII to EC Regulation 1907/2006</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Point</w:t>
            </w:r>
          </w:p>
        </w:tc>
        <w:tc>
          <w:tcPr>
            <w:tcW w:w="1701"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3</w:t>
            </w:r>
          </w:p>
        </w:tc>
        <w:tc>
          <w:tcPr>
            <w:tcW w:w="1701" w:type="dxa"/>
            <w:shd w:val="clear" w:color="auto" w:fill="FFFFFF"/>
          </w:tcPr>
          <w:p w:rsidR="00000000" w:rsidRDefault="00097571">
            <w:pPr>
              <w:widowControl w:val="0"/>
              <w:autoSpaceDE w:val="0"/>
              <w:autoSpaceDN w:val="0"/>
              <w:adjustRightInd w:val="0"/>
              <w:rPr>
                <w:lang w:val="en-GB" w:eastAsia="en-GB"/>
              </w:rPr>
            </w:pP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health checks, provided that available risk-assessment data prove that the risks related to the workers' health and safety are modest and that the 98/24/EC directive is respected.</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097571">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3</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3</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Corr. 1B</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Skin corrosion, category 1B</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Sens. 1</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Skin sensitization, category 1</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Acute 1</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acute toxicity, category 1</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1</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1</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H301</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Toxic if swallowed.</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H311</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Toxic in contact with skin.</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H331</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Toxic if inhaled.</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H314</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Causes severe skin burns and eye damage.</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H317</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H400</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H410</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 with long lasting effects.</w:t>
            </w:r>
          </w:p>
        </w:tc>
        <w:tc>
          <w:tcPr>
            <w:tcW w:w="850" w:type="dxa"/>
            <w:shd w:val="clear" w:color="auto" w:fill="FFFFFF"/>
          </w:tcPr>
          <w:p w:rsidR="00000000" w:rsidRDefault="00097571">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97571">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097571">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097571">
            <w:pPr>
              <w:widowControl w:val="0"/>
              <w:autoSpaceDE w:val="0"/>
              <w:autoSpaceDN w:val="0"/>
              <w:adjustRightInd w:val="0"/>
              <w:rPr>
                <w:lang w:val="en-GB" w:eastAsia="en-GB"/>
              </w:rPr>
            </w:pPr>
          </w:p>
        </w:tc>
      </w:tr>
    </w:tbl>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w:t>
      </w:r>
      <w:r>
        <w:rPr>
          <w:rFonts w:ascii="Arial" w:hAnsi="Arial" w:cs="Arial"/>
          <w:color w:val="000000"/>
          <w:sz w:val="16"/>
          <w:szCs w:val="16"/>
          <w:lang w:val="en-GB" w:eastAsia="en-GB"/>
        </w:rPr>
        <w:t>stances)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w:t>
      </w:r>
      <w:r>
        <w:rPr>
          <w:rFonts w:ascii="Arial" w:hAnsi="Arial" w:cs="Arial"/>
          <w:color w:val="000000"/>
          <w:sz w:val="16"/>
          <w:szCs w:val="16"/>
          <w:lang w:val="en-GB" w:eastAsia="en-GB"/>
        </w:rPr>
        <w:t>ational Exposure Level</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w:t>
      </w:r>
      <w:r>
        <w:rPr>
          <w:rFonts w:ascii="Arial" w:hAnsi="Arial" w:cs="Arial"/>
          <w:color w:val="000000"/>
          <w:sz w:val="16"/>
          <w:szCs w:val="16"/>
          <w:lang w:val="en-GB" w:eastAsia="en-GB"/>
        </w:rPr>
        <w:t>on concerning the international transport of dangerous goods by train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w:t>
      </w:r>
      <w:r>
        <w:rPr>
          <w:rFonts w:ascii="Arial" w:hAnsi="Arial" w:cs="Arial"/>
          <w:color w:val="000000"/>
          <w:sz w:val="16"/>
          <w:szCs w:val="16"/>
          <w:lang w:val="en-GB" w:eastAsia="en-GB"/>
        </w:rPr>
        <w:t xml:space="preserve"> average exposure limit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WGK: Water hazard classes (German).</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9. Regulation (EU) 605/2014 (VI Atp. CLP) of the </w:t>
      </w:r>
      <w:r>
        <w:rPr>
          <w:rFonts w:ascii="Arial" w:hAnsi="Arial" w:cs="Arial"/>
          <w:color w:val="000000"/>
          <w:sz w:val="16"/>
          <w:szCs w:val="16"/>
          <w:lang w:val="en-GB" w:eastAsia="en-GB"/>
        </w:rPr>
        <w:t>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The </w:t>
      </w:r>
      <w:r>
        <w:rPr>
          <w:rFonts w:ascii="Arial" w:hAnsi="Arial" w:cs="Arial"/>
          <w:color w:val="000000"/>
          <w:sz w:val="16"/>
          <w:szCs w:val="16"/>
          <w:lang w:val="en-GB" w:eastAsia="en-GB"/>
        </w:rPr>
        <w:t>Merck Index. - 10th Edition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w:t>
      </w:r>
      <w:r>
        <w:rPr>
          <w:rFonts w:ascii="Arial" w:hAnsi="Arial" w:cs="Arial"/>
          <w:color w:val="000000"/>
          <w:sz w:val="16"/>
          <w:szCs w:val="16"/>
          <w:lang w:val="en-GB" w:eastAsia="en-GB"/>
        </w:rPr>
        <w:t>ite</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w:t>
      </w:r>
      <w:r>
        <w:rPr>
          <w:rFonts w:ascii="Arial" w:hAnsi="Arial" w:cs="Arial"/>
          <w:color w:val="000000"/>
          <w:sz w:val="16"/>
          <w:szCs w:val="16"/>
          <w:lang w:val="en-GB" w:eastAsia="en-GB"/>
        </w:rPr>
        <w:t>the suitability and thoroughness of provided information according to each specific use of the product.</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w:t>
      </w:r>
      <w:r>
        <w:rPr>
          <w:rFonts w:ascii="Arial" w:hAnsi="Arial" w:cs="Arial"/>
          <w:color w:val="000000"/>
          <w:sz w:val="16"/>
          <w:szCs w:val="16"/>
          <w:lang w:val="en-GB" w:eastAsia="en-GB"/>
        </w:rPr>
        <w:t>ore, users must, under their own responsibility, comply with the current health and safety laws and regulations. The producer is relieved from any liability arising from improper uses.</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w:t>
      </w:r>
      <w:r>
        <w:rPr>
          <w:rFonts w:ascii="Arial" w:hAnsi="Arial" w:cs="Arial"/>
          <w:color w:val="000000"/>
          <w:sz w:val="16"/>
          <w:szCs w:val="16"/>
          <w:lang w:val="en-GB" w:eastAsia="en-GB"/>
        </w:rPr>
        <w:t>roducts.</w:t>
      </w:r>
    </w:p>
    <w:p w:rsidR="00000000" w:rsidRDefault="00097571">
      <w:pPr>
        <w:widowControl w:val="0"/>
        <w:autoSpaceDE w:val="0"/>
        <w:autoSpaceDN w:val="0"/>
        <w:adjustRightInd w:val="0"/>
        <w:jc w:val="both"/>
        <w:rPr>
          <w:lang w:val="en-GB" w:eastAsia="en-GB"/>
        </w:rPr>
      </w:pP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097571">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02 / 03 / 04 / 07 / 08 / 11 / 12 / 13 / 15 / 16.</w:t>
      </w:r>
    </w:p>
    <w:sectPr w:rsidR="00000000">
      <w:headerReference w:type="default" r:id="rId7"/>
      <w:footerReference w:type="default" r:id="rId8"/>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7571">
      <w:r>
        <w:separator/>
      </w:r>
    </w:p>
  </w:endnote>
  <w:endnote w:type="continuationSeparator" w:id="0">
    <w:p w:rsidR="00000000" w:rsidRDefault="0009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97571">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355D"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7571">
      <w:r>
        <w:separator/>
      </w:r>
    </w:p>
  </w:footnote>
  <w:footnote w:type="continuationSeparator" w:id="0">
    <w:p w:rsidR="00000000" w:rsidRDefault="0009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97571">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097571">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097571">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097571">
          <w:pPr>
            <w:autoSpaceDE w:val="0"/>
            <w:autoSpaceDN w:val="0"/>
            <w:adjustRightInd w:val="0"/>
            <w:rPr>
              <w:lang w:val="en-GB" w:eastAsia="en-GB"/>
            </w:rPr>
          </w:pPr>
          <w:r>
            <w:rPr>
              <w:rFonts w:ascii="Arial" w:hAnsi="Arial" w:cs="Arial"/>
              <w:color w:val="000000"/>
              <w:sz w:val="12"/>
              <w:szCs w:val="12"/>
              <w:lang w:val="en-GB" w:eastAsia="en-GB"/>
            </w:rPr>
            <w:t>Dated 12/02/2018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97571">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VERDE 60</w:t>
          </w:r>
        </w:p>
      </w:tc>
      <w:tc>
        <w:tcPr>
          <w:tcW w:w="2721" w:type="dxa"/>
          <w:tcBorders>
            <w:left w:val="single" w:sz="6" w:space="0" w:color="auto"/>
            <w:right w:val="single" w:sz="6" w:space="0" w:color="auto"/>
          </w:tcBorders>
          <w:shd w:val="clear" w:color="auto" w:fill="FFFFFF"/>
        </w:tcPr>
        <w:p w:rsidR="00000000" w:rsidRDefault="00097571">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097571">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097571">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097571">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1001"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5B4D1"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71"/>
    <w:rsid w:val="00097571"/>
    <w:rsid w:val="00171DD7"/>
    <w:rsid w:val="002000E3"/>
    <w:rsid w:val="002B4F1F"/>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92D8E71E-8AA5-4EB9-B569-A05B11A0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F90D43DE.dotm</Template>
  <TotalTime>0</TotalTime>
  <Pages>11</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2018-04-12T12:21:00Z</dcterms:created>
  <dcterms:modified xsi:type="dcterms:W3CDTF">2018-04-12T12:21:00Z</dcterms:modified>
</cp:coreProperties>
</file>