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50260">
      <w:pPr>
        <w:widowControl w:val="0"/>
        <w:autoSpaceDE w:val="0"/>
        <w:autoSpaceDN w:val="0"/>
        <w:adjustRightInd w:val="0"/>
        <w:rPr>
          <w:lang w:val="en-GB" w:eastAsia="en-GB"/>
        </w:rPr>
      </w:pPr>
      <w:bookmarkStart w:id="0" w:name="_GoBack"/>
      <w:bookmarkEnd w:id="0"/>
    </w:p>
    <w:p w:rsidR="00000000" w:rsidRDefault="00650260">
      <w:pPr>
        <w:widowControl w:val="0"/>
        <w:autoSpaceDE w:val="0"/>
        <w:autoSpaceDN w:val="0"/>
        <w:adjustRightInd w:val="0"/>
        <w:jc w:val="center"/>
        <w:rPr>
          <w:lang w:val="en-GB" w:eastAsia="en-GB"/>
        </w:rPr>
      </w:pPr>
      <w:r>
        <w:rPr>
          <w:rFonts w:ascii="Arial" w:hAnsi="Arial" w:cs="Arial"/>
          <w:b/>
          <w:bCs/>
          <w:color w:val="000000"/>
          <w:sz w:val="32"/>
          <w:szCs w:val="32"/>
          <w:lang w:val="en-GB" w:eastAsia="en-GB"/>
        </w:rPr>
        <w:t>Safety Data Sheet</w:t>
      </w:r>
    </w:p>
    <w:p w:rsidR="00000000" w:rsidRDefault="00650260">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 Identification of the substance/mixture and of the company/undertaking</w:t>
            </w:r>
          </w:p>
        </w:tc>
      </w:tr>
    </w:tbl>
    <w:p w:rsidR="00000000" w:rsidRDefault="00650260">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1.1. Product identifier</w:t>
            </w:r>
          </w:p>
        </w:tc>
      </w:tr>
      <w:tr w:rsidR="00000000">
        <w:tblPrEx>
          <w:tblCellMar>
            <w:top w:w="0" w:type="dxa"/>
            <w:bottom w:w="0" w:type="dxa"/>
          </w:tblCellMar>
        </w:tblPrEx>
        <w:tc>
          <w:tcPr>
            <w:tcW w:w="3969"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Code:</w:t>
            </w:r>
          </w:p>
        </w:tc>
        <w:tc>
          <w:tcPr>
            <w:tcW w:w="6804" w:type="dxa"/>
            <w:shd w:val="clear" w:color="auto" w:fill="FFFFFF"/>
          </w:tcPr>
          <w:p w:rsidR="00000000" w:rsidRDefault="00650260">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AM1005.40 </w:t>
            </w:r>
          </w:p>
        </w:tc>
      </w:tr>
      <w:tr w:rsidR="00000000">
        <w:tblPrEx>
          <w:tblCellMar>
            <w:top w:w="0" w:type="dxa"/>
            <w:bottom w:w="0" w:type="dxa"/>
          </w:tblCellMar>
        </w:tblPrEx>
        <w:tc>
          <w:tcPr>
            <w:tcW w:w="3969"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Product name</w:t>
            </w:r>
          </w:p>
        </w:tc>
        <w:tc>
          <w:tcPr>
            <w:tcW w:w="6804" w:type="dxa"/>
            <w:shd w:val="clear" w:color="auto" w:fill="FFFFFF"/>
          </w:tcPr>
          <w:p w:rsidR="00000000" w:rsidRDefault="00650260">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TEXPRINT COLORANTE ROSSO 40 </w:t>
            </w:r>
          </w:p>
        </w:tc>
      </w:tr>
      <w:tr w:rsidR="00000000">
        <w:tblPrEx>
          <w:tblCellMar>
            <w:top w:w="0" w:type="dxa"/>
            <w:bottom w:w="0" w:type="dxa"/>
          </w:tblCellMar>
        </w:tblPrEx>
        <w:tc>
          <w:tcPr>
            <w:tcW w:w="3969" w:type="dxa"/>
            <w:shd w:val="clear" w:color="auto" w:fill="FFFFFF"/>
          </w:tcPr>
          <w:p w:rsidR="00000000" w:rsidRDefault="00650260">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650260">
            <w:pPr>
              <w:widowControl w:val="0"/>
              <w:autoSpaceDE w:val="0"/>
              <w:autoSpaceDN w:val="0"/>
              <w:adjustRightInd w:val="0"/>
              <w:jc w:val="center"/>
              <w:rPr>
                <w:lang w:val="en-GB" w:eastAsia="en-GB"/>
              </w:rPr>
            </w:pPr>
          </w:p>
        </w:tc>
      </w:tr>
    </w:tbl>
    <w:p w:rsidR="00000000" w:rsidRDefault="00650260">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8505"/>
      </w:tblGrid>
      <w:tr w:rsidR="00000000">
        <w:tblPrEx>
          <w:tblCellMar>
            <w:top w:w="0" w:type="dxa"/>
            <w:bottom w:w="0" w:type="dxa"/>
          </w:tblCellMar>
        </w:tblPrEx>
        <w:tc>
          <w:tcPr>
            <w:tcW w:w="10773" w:type="dxa"/>
            <w:gridSpan w:val="2"/>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 Relevant identified uses of the substance or mixture and uses advised against</w:t>
            </w:r>
          </w:p>
        </w:tc>
      </w:tr>
      <w:tr w:rsidR="00000000">
        <w:tblPrEx>
          <w:tblCellMar>
            <w:top w:w="0" w:type="dxa"/>
            <w:bottom w:w="0" w:type="dxa"/>
          </w:tblCellMar>
        </w:tblPrEx>
        <w:tc>
          <w:tcPr>
            <w:tcW w:w="2268"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Intended use</w:t>
            </w:r>
          </w:p>
        </w:tc>
        <w:tc>
          <w:tcPr>
            <w:tcW w:w="8505" w:type="dxa"/>
            <w:shd w:val="clear" w:color="auto" w:fill="FFFFFF"/>
          </w:tcPr>
          <w:p w:rsidR="00000000" w:rsidRDefault="00650260">
            <w:pPr>
              <w:widowControl w:val="0"/>
              <w:autoSpaceDE w:val="0"/>
              <w:autoSpaceDN w:val="0"/>
              <w:adjustRightInd w:val="0"/>
              <w:rPr>
                <w:lang w:val="en-GB" w:eastAsia="en-GB"/>
              </w:rPr>
            </w:pPr>
            <w:r>
              <w:rPr>
                <w:rFonts w:ascii="Arial" w:hAnsi="Arial" w:cs="Arial"/>
                <w:b/>
                <w:bCs/>
                <w:color w:val="000000"/>
                <w:sz w:val="16"/>
                <w:szCs w:val="16"/>
                <w:lang w:val="en-GB" w:eastAsia="en-GB"/>
              </w:rPr>
              <w:t>colorante a pigmento per tessili</w:t>
            </w:r>
          </w:p>
        </w:tc>
      </w:tr>
    </w:tbl>
    <w:p w:rsidR="00000000" w:rsidRDefault="00650260">
      <w:pPr>
        <w:widowControl w:val="0"/>
        <w:autoSpaceDE w:val="0"/>
        <w:autoSpaceDN w:val="0"/>
        <w:adjustRightInd w:val="0"/>
        <w:jc w:val="center"/>
        <w:rPr>
          <w:lang w:val="en-GB" w:eastAsia="en-GB"/>
        </w:rPr>
      </w:pPr>
    </w:p>
    <w:p w:rsidR="00000000" w:rsidRDefault="00650260">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1.3. Details of the supplier of the safety data sheet</w:t>
            </w:r>
          </w:p>
        </w:tc>
      </w:tr>
      <w:tr w:rsidR="00000000">
        <w:tblPrEx>
          <w:tblCellMar>
            <w:top w:w="0" w:type="dxa"/>
            <w:bottom w:w="0" w:type="dxa"/>
          </w:tblCellMar>
        </w:tblPrEx>
        <w:tc>
          <w:tcPr>
            <w:tcW w:w="3969"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Name</w:t>
            </w:r>
          </w:p>
        </w:tc>
        <w:tc>
          <w:tcPr>
            <w:tcW w:w="6804" w:type="dxa"/>
            <w:shd w:val="clear" w:color="auto" w:fill="FFFFFF"/>
          </w:tcPr>
          <w:p w:rsidR="00000000" w:rsidRDefault="00650260">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AMEX S.R.L </w:t>
            </w:r>
          </w:p>
        </w:tc>
      </w:tr>
      <w:tr w:rsidR="00000000">
        <w:tblPrEx>
          <w:tblCellMar>
            <w:top w:w="0" w:type="dxa"/>
            <w:bottom w:w="0" w:type="dxa"/>
          </w:tblCellMar>
        </w:tblPrEx>
        <w:tc>
          <w:tcPr>
            <w:tcW w:w="3969"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Full address</w:t>
            </w:r>
          </w:p>
        </w:tc>
        <w:tc>
          <w:tcPr>
            <w:tcW w:w="6804" w:type="dxa"/>
            <w:shd w:val="clear" w:color="auto" w:fill="FFFFFF"/>
          </w:tcPr>
          <w:p w:rsidR="00000000" w:rsidRDefault="00650260">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VIALE DELLO SPORT 12 </w:t>
            </w:r>
          </w:p>
        </w:tc>
      </w:tr>
      <w:tr w:rsidR="00000000">
        <w:tblPrEx>
          <w:tblCellMar>
            <w:top w:w="0" w:type="dxa"/>
            <w:bottom w:w="0" w:type="dxa"/>
          </w:tblCellMar>
        </w:tblPrEx>
        <w:tc>
          <w:tcPr>
            <w:tcW w:w="3969"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District and Country</w:t>
            </w:r>
          </w:p>
        </w:tc>
        <w:tc>
          <w:tcPr>
            <w:tcW w:w="6804" w:type="dxa"/>
            <w:shd w:val="clear" w:color="auto" w:fill="FFFFFF"/>
          </w:tcPr>
          <w:p w:rsidR="00000000" w:rsidRDefault="00650260">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22070 APPIANO GENTILE (CO) </w:t>
            </w:r>
          </w:p>
        </w:tc>
      </w:tr>
      <w:tr w:rsidR="00000000">
        <w:tblPrEx>
          <w:tblCellMar>
            <w:top w:w="0" w:type="dxa"/>
            <w:bottom w:w="0" w:type="dxa"/>
          </w:tblCellMar>
        </w:tblPrEx>
        <w:tc>
          <w:tcPr>
            <w:tcW w:w="3969" w:type="dxa"/>
            <w:shd w:val="clear" w:color="auto" w:fill="FFFFFF"/>
          </w:tcPr>
          <w:p w:rsidR="00000000" w:rsidRDefault="00650260">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650260">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IT </w:t>
            </w:r>
          </w:p>
        </w:tc>
      </w:tr>
      <w:tr w:rsidR="00000000">
        <w:tblPrEx>
          <w:tblCellMar>
            <w:top w:w="0" w:type="dxa"/>
            <w:bottom w:w="0" w:type="dxa"/>
          </w:tblCellMar>
        </w:tblPrEx>
        <w:tc>
          <w:tcPr>
            <w:tcW w:w="3969" w:type="dxa"/>
            <w:shd w:val="clear" w:color="auto" w:fill="FFFFFF"/>
          </w:tcPr>
          <w:p w:rsidR="00000000" w:rsidRDefault="00650260">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650260">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Tel. 031931923 </w:t>
            </w:r>
          </w:p>
        </w:tc>
      </w:tr>
      <w:tr w:rsidR="00000000">
        <w:tblPrEx>
          <w:tblCellMar>
            <w:top w:w="0" w:type="dxa"/>
            <w:bottom w:w="0" w:type="dxa"/>
          </w:tblCellMar>
        </w:tblPrEx>
        <w:tc>
          <w:tcPr>
            <w:tcW w:w="3969" w:type="dxa"/>
            <w:shd w:val="clear" w:color="auto" w:fill="FFFFFF"/>
          </w:tcPr>
          <w:p w:rsidR="00000000" w:rsidRDefault="00650260">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650260">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Fax 031933789 </w:t>
            </w:r>
          </w:p>
        </w:tc>
      </w:tr>
      <w:tr w:rsidR="00000000">
        <w:tblPrEx>
          <w:tblCellMar>
            <w:top w:w="0" w:type="dxa"/>
            <w:bottom w:w="0" w:type="dxa"/>
          </w:tblCellMar>
        </w:tblPrEx>
        <w:tc>
          <w:tcPr>
            <w:tcW w:w="3969"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e-mail address of the competent person</w:t>
            </w:r>
          </w:p>
        </w:tc>
        <w:tc>
          <w:tcPr>
            <w:tcW w:w="6804" w:type="dxa"/>
            <w:shd w:val="clear" w:color="auto" w:fill="FFFFFF"/>
          </w:tcPr>
          <w:p w:rsidR="00000000" w:rsidRDefault="00650260">
            <w:pPr>
              <w:widowControl w:val="0"/>
              <w:autoSpaceDE w:val="0"/>
              <w:autoSpaceDN w:val="0"/>
              <w:adjustRightInd w:val="0"/>
              <w:rPr>
                <w:lang w:val="en-GB" w:eastAsia="en-GB"/>
              </w:rPr>
            </w:pPr>
          </w:p>
        </w:tc>
      </w:tr>
      <w:tr w:rsidR="00000000">
        <w:tblPrEx>
          <w:tblCellMar>
            <w:top w:w="0" w:type="dxa"/>
            <w:bottom w:w="0" w:type="dxa"/>
          </w:tblCellMar>
        </w:tblPrEx>
        <w:tc>
          <w:tcPr>
            <w:tcW w:w="3969"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responsible for the Safety Data Sheet</w:t>
            </w:r>
          </w:p>
        </w:tc>
        <w:tc>
          <w:tcPr>
            <w:tcW w:w="6804" w:type="dxa"/>
            <w:shd w:val="clear" w:color="auto" w:fill="FFFFFF"/>
          </w:tcPr>
          <w:p w:rsidR="00000000" w:rsidRDefault="00650260">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melissa@amexsrl.it </w:t>
            </w:r>
          </w:p>
        </w:tc>
      </w:tr>
      <w:tr w:rsidR="00000000">
        <w:tblPrEx>
          <w:tblCellMar>
            <w:top w:w="0" w:type="dxa"/>
            <w:bottom w:w="0" w:type="dxa"/>
          </w:tblCellMar>
        </w:tblPrEx>
        <w:tc>
          <w:tcPr>
            <w:tcW w:w="3969" w:type="dxa"/>
            <w:shd w:val="clear" w:color="auto" w:fill="FFFFFF"/>
          </w:tcPr>
          <w:p w:rsidR="00000000" w:rsidRDefault="00650260">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650260">
            <w:pPr>
              <w:widowControl w:val="0"/>
              <w:autoSpaceDE w:val="0"/>
              <w:autoSpaceDN w:val="0"/>
              <w:adjustRightInd w:val="0"/>
              <w:jc w:val="center"/>
              <w:rPr>
                <w:lang w:val="en-GB" w:eastAsia="en-GB"/>
              </w:rPr>
            </w:pPr>
          </w:p>
        </w:tc>
      </w:tr>
    </w:tbl>
    <w:p w:rsidR="00000000" w:rsidRDefault="00650260">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1.4. Emergency telephone number</w:t>
            </w:r>
          </w:p>
        </w:tc>
      </w:tr>
      <w:tr w:rsidR="00000000">
        <w:tblPrEx>
          <w:tblCellMar>
            <w:top w:w="0" w:type="dxa"/>
            <w:bottom w:w="0" w:type="dxa"/>
          </w:tblCellMar>
        </w:tblPrEx>
        <w:tc>
          <w:tcPr>
            <w:tcW w:w="3969"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For urgent inquiries refer to</w:t>
            </w:r>
          </w:p>
        </w:tc>
        <w:tc>
          <w:tcPr>
            <w:tcW w:w="6804" w:type="dxa"/>
            <w:shd w:val="clear" w:color="auto" w:fill="FFFFFF"/>
          </w:tcPr>
          <w:p w:rsidR="00000000" w:rsidRDefault="00650260">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031931923                                                                                   Poison Control Center - Ospedale Niguarda - Milano - tel. 02/66101029 </w:t>
            </w:r>
          </w:p>
        </w:tc>
      </w:tr>
    </w:tbl>
    <w:p w:rsidR="00000000" w:rsidRDefault="00650260">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2. Hazards identification</w:t>
            </w:r>
          </w:p>
        </w:tc>
      </w:tr>
    </w:tbl>
    <w:p w:rsidR="00000000" w:rsidRDefault="00650260">
      <w:pPr>
        <w:widowControl w:val="0"/>
        <w:autoSpaceDE w:val="0"/>
        <w:autoSpaceDN w:val="0"/>
        <w:adjustRightInd w:val="0"/>
        <w:jc w:val="center"/>
        <w:rPr>
          <w:lang w:val="en-GB" w:eastAsia="en-GB"/>
        </w:rPr>
      </w:pPr>
    </w:p>
    <w:p w:rsidR="00000000" w:rsidRDefault="0065026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2.1. Classification of the substance or mixture</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classified as hazardous pursuant to the provisions set forth in EC Regulation 1272/2008 (CLP).</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However, since the product contains hazardous substances </w:t>
      </w:r>
      <w:r>
        <w:rPr>
          <w:rFonts w:ascii="Arial" w:hAnsi="Arial" w:cs="Arial"/>
          <w:color w:val="000000"/>
          <w:sz w:val="16"/>
          <w:szCs w:val="16"/>
          <w:lang w:val="en-GB" w:eastAsia="en-GB"/>
        </w:rPr>
        <w:t>in concentrations such as to be declared in section no. 3, it requires a safety data sheet with appropriate information, compliant to (EU) Regulation 2015/830.</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classification and indication:</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2.2. Label elements</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labelling pursuant to EC Regu</w:t>
      </w:r>
      <w:r>
        <w:rPr>
          <w:rFonts w:ascii="Arial" w:hAnsi="Arial" w:cs="Arial"/>
          <w:color w:val="000000"/>
          <w:sz w:val="16"/>
          <w:szCs w:val="16"/>
          <w:lang w:val="en-GB" w:eastAsia="en-GB"/>
        </w:rPr>
        <w:t>lation 1272/2008 (CLP) and subsequent amendments and supplements.</w:t>
      </w:r>
    </w:p>
    <w:p w:rsidR="00000000" w:rsidRDefault="0065026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Hazard pictograms:</w:t>
            </w:r>
          </w:p>
        </w:tc>
        <w:tc>
          <w:tcPr>
            <w:tcW w:w="8788" w:type="dxa"/>
            <w:shd w:val="clear" w:color="auto" w:fill="FFFFFF"/>
          </w:tcPr>
          <w:p w:rsidR="00000000" w:rsidRDefault="00650260">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65026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Signal words:</w:t>
            </w:r>
          </w:p>
        </w:tc>
        <w:tc>
          <w:tcPr>
            <w:tcW w:w="8788" w:type="dxa"/>
            <w:shd w:val="clear" w:color="auto" w:fill="FFFFFF"/>
          </w:tcPr>
          <w:p w:rsidR="00000000" w:rsidRDefault="00650260">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statements:</w:t>
      </w:r>
    </w:p>
    <w:p w:rsidR="00000000" w:rsidRDefault="0065026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EUH210</w:t>
            </w:r>
          </w:p>
        </w:tc>
        <w:tc>
          <w:tcPr>
            <w:tcW w:w="8788" w:type="dxa"/>
            <w:shd w:val="clear" w:color="auto" w:fill="FFFFFF"/>
          </w:tcPr>
          <w:p w:rsidR="00000000" w:rsidRDefault="00650260">
            <w:pPr>
              <w:widowControl w:val="0"/>
              <w:autoSpaceDE w:val="0"/>
              <w:autoSpaceDN w:val="0"/>
              <w:adjustRightInd w:val="0"/>
              <w:rPr>
                <w:lang w:val="en-GB" w:eastAsia="en-GB"/>
              </w:rPr>
            </w:pPr>
            <w:r>
              <w:rPr>
                <w:rFonts w:ascii="Arial" w:hAnsi="Arial" w:cs="Arial"/>
                <w:color w:val="000000"/>
                <w:sz w:val="16"/>
                <w:szCs w:val="16"/>
                <w:lang w:val="en-GB" w:eastAsia="en-GB"/>
              </w:rPr>
              <w:t>Safety data sheet available on request.</w:t>
            </w:r>
          </w:p>
        </w:tc>
      </w:tr>
    </w:tbl>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Precautionary statements:</w:t>
      </w:r>
    </w:p>
    <w:p w:rsidR="00000000" w:rsidRDefault="0065026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650260">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000000" w:rsidRDefault="00650260">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lastRenderedPageBreak/>
        <w:t>2.3. Other hazards</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000000" w:rsidRDefault="0065026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3. Composition/information on ingredients</w:t>
            </w:r>
          </w:p>
        </w:tc>
      </w:tr>
    </w:tbl>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3.1. Substances</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65026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3.2. Mixtures</w:t>
            </w:r>
          </w:p>
        </w:tc>
      </w:tr>
    </w:tbl>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Contains:</w:t>
      </w:r>
    </w:p>
    <w:p w:rsidR="00000000" w:rsidRDefault="0065026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7"/>
        <w:gridCol w:w="5670"/>
        <w:gridCol w:w="567"/>
      </w:tblGrid>
      <w:tr w:rsidR="00000000">
        <w:tblPrEx>
          <w:tblCellMar>
            <w:top w:w="0" w:type="dxa"/>
            <w:bottom w:w="0" w:type="dxa"/>
          </w:tblCellMar>
        </w:tblPrEx>
        <w:tc>
          <w:tcPr>
            <w:tcW w:w="2835"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Identification</w:t>
            </w:r>
          </w:p>
        </w:tc>
        <w:tc>
          <w:tcPr>
            <w:tcW w:w="1417" w:type="dxa"/>
            <w:shd w:val="clear" w:color="auto" w:fill="FFFFFF"/>
          </w:tcPr>
          <w:p w:rsidR="00000000" w:rsidRDefault="00650260">
            <w:pPr>
              <w:widowControl w:val="0"/>
              <w:autoSpaceDE w:val="0"/>
              <w:autoSpaceDN w:val="0"/>
              <w:adjustRightInd w:val="0"/>
              <w:rPr>
                <w:lang w:val="en-GB" w:eastAsia="en-GB"/>
              </w:rPr>
            </w:pPr>
            <w:r>
              <w:rPr>
                <w:rFonts w:ascii="Arial" w:hAnsi="Arial" w:cs="Arial"/>
                <w:b/>
                <w:bCs/>
                <w:color w:val="000000"/>
                <w:sz w:val="16"/>
                <w:szCs w:val="16"/>
                <w:lang w:val="en-GB" w:eastAsia="en-GB"/>
              </w:rPr>
              <w:t>x = Conc. %</w:t>
            </w:r>
          </w:p>
        </w:tc>
        <w:tc>
          <w:tcPr>
            <w:tcW w:w="5670" w:type="dxa"/>
            <w:shd w:val="clear" w:color="auto" w:fill="FFFFFF"/>
          </w:tcPr>
          <w:p w:rsidR="00000000" w:rsidRDefault="00650260">
            <w:pPr>
              <w:widowControl w:val="0"/>
              <w:autoSpaceDE w:val="0"/>
              <w:autoSpaceDN w:val="0"/>
              <w:adjustRightInd w:val="0"/>
              <w:rPr>
                <w:lang w:val="en-GB" w:eastAsia="en-GB"/>
              </w:rPr>
            </w:pPr>
            <w:r>
              <w:rPr>
                <w:rFonts w:ascii="Arial" w:hAnsi="Arial" w:cs="Arial"/>
                <w:b/>
                <w:bCs/>
                <w:color w:val="000000"/>
                <w:sz w:val="16"/>
                <w:szCs w:val="16"/>
                <w:lang w:val="en-GB" w:eastAsia="en-GB"/>
              </w:rPr>
              <w:t>Classification 1272/2008 (CLP)</w:t>
            </w:r>
          </w:p>
        </w:tc>
        <w:tc>
          <w:tcPr>
            <w:tcW w:w="567" w:type="dxa"/>
            <w:shd w:val="clear" w:color="auto" w:fill="FFFFFF"/>
          </w:tcPr>
          <w:p w:rsidR="00000000" w:rsidRDefault="00650260">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PEG mono (tristirilfenil) etere</w:t>
            </w:r>
          </w:p>
        </w:tc>
        <w:tc>
          <w:tcPr>
            <w:tcW w:w="1417" w:type="dxa"/>
            <w:shd w:val="clear" w:color="auto" w:fill="FFFFFF"/>
          </w:tcPr>
          <w:p w:rsidR="00000000" w:rsidRDefault="00650260">
            <w:pPr>
              <w:widowControl w:val="0"/>
              <w:autoSpaceDE w:val="0"/>
              <w:autoSpaceDN w:val="0"/>
              <w:adjustRightInd w:val="0"/>
              <w:rPr>
                <w:lang w:val="en-GB" w:eastAsia="en-GB"/>
              </w:rPr>
            </w:pPr>
          </w:p>
        </w:tc>
        <w:tc>
          <w:tcPr>
            <w:tcW w:w="5670" w:type="dxa"/>
            <w:shd w:val="clear" w:color="auto" w:fill="FFFFFF"/>
          </w:tcPr>
          <w:p w:rsidR="00000000" w:rsidRDefault="00650260">
            <w:pPr>
              <w:widowControl w:val="0"/>
              <w:autoSpaceDE w:val="0"/>
              <w:autoSpaceDN w:val="0"/>
              <w:adjustRightInd w:val="0"/>
              <w:rPr>
                <w:lang w:val="en-GB" w:eastAsia="en-GB"/>
              </w:rPr>
            </w:pPr>
          </w:p>
        </w:tc>
        <w:tc>
          <w:tcPr>
            <w:tcW w:w="567" w:type="dxa"/>
            <w:shd w:val="clear" w:color="auto" w:fill="FFFFFF"/>
          </w:tcPr>
          <w:p w:rsidR="00000000" w:rsidRDefault="00650260">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CAS   99734-09-5</w:t>
            </w:r>
          </w:p>
        </w:tc>
        <w:tc>
          <w:tcPr>
            <w:tcW w:w="1417" w:type="dxa"/>
            <w:shd w:val="clear" w:color="auto" w:fill="FFFFFF"/>
          </w:tcPr>
          <w:p w:rsidR="00000000" w:rsidRDefault="00650260">
            <w:pPr>
              <w:widowControl w:val="0"/>
              <w:autoSpaceDE w:val="0"/>
              <w:autoSpaceDN w:val="0"/>
              <w:adjustRightInd w:val="0"/>
              <w:rPr>
                <w:lang w:val="en-GB" w:eastAsia="en-GB"/>
              </w:rPr>
            </w:pPr>
            <w:r>
              <w:rPr>
                <w:rFonts w:ascii="Arial" w:hAnsi="Arial" w:cs="Arial"/>
                <w:color w:val="000000"/>
                <w:sz w:val="16"/>
                <w:szCs w:val="16"/>
                <w:lang w:val="en-GB" w:eastAsia="en-GB"/>
              </w:rPr>
              <w:t xml:space="preserve">3 </w:t>
            </w:r>
            <w:r>
              <w:rPr>
                <w:rFonts w:ascii="Arial" w:hAnsi="Arial" w:cs="Arial"/>
                <w:color w:val="000000"/>
                <w:sz w:val="16"/>
                <w:szCs w:val="16"/>
                <w:lang w:val="en-GB" w:eastAsia="en-GB"/>
              </w:rPr>
              <w:t>≤</w:t>
            </w:r>
            <w:r>
              <w:rPr>
                <w:rFonts w:ascii="Arial" w:hAnsi="Arial" w:cs="Arial"/>
                <w:color w:val="000000"/>
                <w:sz w:val="16"/>
                <w:szCs w:val="16"/>
                <w:lang w:val="en-GB" w:eastAsia="en-GB"/>
              </w:rPr>
              <w:t xml:space="preserve"> x &lt;  5</w:t>
            </w:r>
          </w:p>
        </w:tc>
        <w:tc>
          <w:tcPr>
            <w:tcW w:w="5670" w:type="dxa"/>
            <w:shd w:val="clear" w:color="auto" w:fill="FFFFFF"/>
          </w:tcPr>
          <w:p w:rsidR="00000000" w:rsidRDefault="00650260">
            <w:pPr>
              <w:widowControl w:val="0"/>
              <w:autoSpaceDE w:val="0"/>
              <w:autoSpaceDN w:val="0"/>
              <w:adjustRightInd w:val="0"/>
              <w:rPr>
                <w:lang w:val="en-GB" w:eastAsia="en-GB"/>
              </w:rPr>
            </w:pPr>
            <w:r>
              <w:rPr>
                <w:rFonts w:ascii="Arial" w:hAnsi="Arial" w:cs="Arial"/>
                <w:color w:val="000000"/>
                <w:sz w:val="16"/>
                <w:szCs w:val="16"/>
                <w:lang w:val="en-GB" w:eastAsia="en-GB"/>
              </w:rPr>
              <w:t>Aquatic Chronic 3 H412</w:t>
            </w:r>
          </w:p>
        </w:tc>
        <w:tc>
          <w:tcPr>
            <w:tcW w:w="567" w:type="dxa"/>
            <w:shd w:val="clear" w:color="auto" w:fill="FFFFFF"/>
          </w:tcPr>
          <w:p w:rsidR="00000000" w:rsidRDefault="00650260">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w:t>
            </w:r>
          </w:p>
        </w:tc>
        <w:tc>
          <w:tcPr>
            <w:tcW w:w="1417" w:type="dxa"/>
            <w:shd w:val="clear" w:color="auto" w:fill="FFFFFF"/>
          </w:tcPr>
          <w:p w:rsidR="00000000" w:rsidRDefault="00650260">
            <w:pPr>
              <w:widowControl w:val="0"/>
              <w:autoSpaceDE w:val="0"/>
              <w:autoSpaceDN w:val="0"/>
              <w:adjustRightInd w:val="0"/>
              <w:rPr>
                <w:lang w:val="en-GB" w:eastAsia="en-GB"/>
              </w:rPr>
            </w:pPr>
          </w:p>
        </w:tc>
        <w:tc>
          <w:tcPr>
            <w:tcW w:w="5670" w:type="dxa"/>
            <w:shd w:val="clear" w:color="auto" w:fill="FFFFFF"/>
          </w:tcPr>
          <w:p w:rsidR="00000000" w:rsidRDefault="00650260">
            <w:pPr>
              <w:widowControl w:val="0"/>
              <w:autoSpaceDE w:val="0"/>
              <w:autoSpaceDN w:val="0"/>
              <w:adjustRightInd w:val="0"/>
              <w:rPr>
                <w:lang w:val="en-GB" w:eastAsia="en-GB"/>
              </w:rPr>
            </w:pPr>
          </w:p>
        </w:tc>
        <w:tc>
          <w:tcPr>
            <w:tcW w:w="567" w:type="dxa"/>
            <w:shd w:val="clear" w:color="auto" w:fill="FFFFFF"/>
          </w:tcPr>
          <w:p w:rsidR="00000000" w:rsidRDefault="00650260">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INDEX   -</w:t>
            </w:r>
          </w:p>
        </w:tc>
        <w:tc>
          <w:tcPr>
            <w:tcW w:w="1417" w:type="dxa"/>
            <w:shd w:val="clear" w:color="auto" w:fill="FFFFFF"/>
          </w:tcPr>
          <w:p w:rsidR="00000000" w:rsidRDefault="00650260">
            <w:pPr>
              <w:widowControl w:val="0"/>
              <w:autoSpaceDE w:val="0"/>
              <w:autoSpaceDN w:val="0"/>
              <w:adjustRightInd w:val="0"/>
              <w:rPr>
                <w:lang w:val="en-GB" w:eastAsia="en-GB"/>
              </w:rPr>
            </w:pPr>
          </w:p>
        </w:tc>
        <w:tc>
          <w:tcPr>
            <w:tcW w:w="5670" w:type="dxa"/>
            <w:shd w:val="clear" w:color="auto" w:fill="FFFFFF"/>
          </w:tcPr>
          <w:p w:rsidR="00000000" w:rsidRDefault="00650260">
            <w:pPr>
              <w:widowControl w:val="0"/>
              <w:autoSpaceDE w:val="0"/>
              <w:autoSpaceDN w:val="0"/>
              <w:adjustRightInd w:val="0"/>
              <w:rPr>
                <w:lang w:val="en-GB" w:eastAsia="en-GB"/>
              </w:rPr>
            </w:pPr>
          </w:p>
        </w:tc>
        <w:tc>
          <w:tcPr>
            <w:tcW w:w="567" w:type="dxa"/>
            <w:shd w:val="clear" w:color="auto" w:fill="FFFFFF"/>
          </w:tcPr>
          <w:p w:rsidR="00000000" w:rsidRDefault="00650260">
            <w:pPr>
              <w:widowControl w:val="0"/>
              <w:autoSpaceDE w:val="0"/>
              <w:autoSpaceDN w:val="0"/>
              <w:adjustRightInd w:val="0"/>
              <w:rPr>
                <w:lang w:val="en-GB" w:eastAsia="en-GB"/>
              </w:rPr>
            </w:pPr>
          </w:p>
        </w:tc>
      </w:tr>
    </w:tbl>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full wording of hazard (H) phrases is given in section 16 of the sheet.</w:t>
      </w:r>
    </w:p>
    <w:p w:rsidR="00000000" w:rsidRDefault="0065026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4. First aid measures</w:t>
            </w:r>
          </w:p>
        </w:tc>
      </w:tr>
    </w:tbl>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4.1. Description of first aid measures</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episodes of harm to the staff authorised to use the product have been reported. The following general measures should be adopted as necessary:</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INHALATION: Remove to open air. If the subject stops breathing, administer artificial respiration. Get medical advice/attention.</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INGESTION: Get medical advice/attention. Induce vomiting only if indicated by the doctor. Do not give anything by mouth to an u</w:t>
      </w:r>
      <w:r>
        <w:rPr>
          <w:rFonts w:ascii="Arial" w:hAnsi="Arial" w:cs="Arial"/>
          <w:color w:val="000000"/>
          <w:sz w:val="16"/>
          <w:szCs w:val="16"/>
          <w:lang w:val="en-GB" w:eastAsia="en-GB"/>
        </w:rPr>
        <w:t>nconscious person.</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EYES and SKIN: Wash with plenty of water. In the event of persistent irritation, get medical advice/attention.</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4.2. Most important symptoms and effects, both acute and delayed</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Specific information on symptoms and effects caused by the </w:t>
      </w:r>
      <w:r>
        <w:rPr>
          <w:rFonts w:ascii="Arial" w:hAnsi="Arial" w:cs="Arial"/>
          <w:color w:val="000000"/>
          <w:sz w:val="16"/>
          <w:szCs w:val="16"/>
          <w:lang w:val="en-GB" w:eastAsia="en-GB"/>
        </w:rPr>
        <w:t>product are unknown.</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4.3. Indication of any immediate medical attention and special treatment needed</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5. Firefighting measures</w:t>
            </w:r>
          </w:p>
        </w:tc>
      </w:tr>
    </w:tbl>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5.1. Extinguishing media</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SUITABLE EXTINGUISHING EQUIPMENT</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extinguishing equipment should be of the conventional kind: carbon dioxide, foam, powder and water spray.</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UNSUITABLE EXTINGUISHING EQUIPMENT</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particular.</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5.2. Special hazards arising from the substance or mixture</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HAZARDS CAUSED BY EXPOSURE IN </w:t>
      </w:r>
      <w:r>
        <w:rPr>
          <w:rFonts w:ascii="Arial" w:hAnsi="Arial" w:cs="Arial"/>
          <w:color w:val="000000"/>
          <w:sz w:val="16"/>
          <w:szCs w:val="16"/>
          <w:lang w:val="en-GB" w:eastAsia="en-GB"/>
        </w:rPr>
        <w:t>THE EVENT OF FIRE</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Do not breathe combustion products.</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lastRenderedPageBreak/>
        <w:t>5.3. Advice for firefighters</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INFORMATION</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Use jets of water to cool the containers to prevent product decomposition and the development of substances potentially hazardous for health. Always we</w:t>
      </w:r>
      <w:r>
        <w:rPr>
          <w:rFonts w:ascii="Arial" w:hAnsi="Arial" w:cs="Arial"/>
          <w:color w:val="000000"/>
          <w:sz w:val="16"/>
          <w:szCs w:val="16"/>
          <w:lang w:val="en-GB" w:eastAsia="en-GB"/>
        </w:rPr>
        <w:t>ar full fire prevention gear. Collect extinguishing water to prevent it from draining into the sewer system. Dispose of contaminated water used for extinction and the remains of the fire according to applicable regulations.</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SPECIAL PROTECTIVE EQUIPMENT FOR</w:t>
      </w:r>
      <w:r>
        <w:rPr>
          <w:rFonts w:ascii="Arial" w:hAnsi="Arial" w:cs="Arial"/>
          <w:color w:val="000000"/>
          <w:sz w:val="16"/>
          <w:szCs w:val="16"/>
          <w:lang w:val="en-GB" w:eastAsia="en-GB"/>
        </w:rPr>
        <w:t xml:space="preserve"> FIRE-FIGHTERS</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Normal fire fighting clothing i.e. fire kit (BS EN 469), gloves (BS EN 659) and boots (HO specification A29 and A30) in combination with self-contained open circuit positive pressure compressed air breathing apparatus (BS EN 137).</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6. Accidental release measures</w:t>
            </w:r>
          </w:p>
        </w:tc>
      </w:tr>
    </w:tbl>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6.1. Personal precautions, protective equipment and emergency procedures</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Block the leakage if there is no hazard.</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Wear suitable protective equipment (including personal protective equipment referred to under Section 8 of the safety data sheet) to prevent any contamination of skin, eyes and personal clothing. These indications apply for both processing staff and those </w:t>
      </w:r>
      <w:r>
        <w:rPr>
          <w:rFonts w:ascii="Arial" w:hAnsi="Arial" w:cs="Arial"/>
          <w:color w:val="000000"/>
          <w:sz w:val="16"/>
          <w:szCs w:val="16"/>
          <w:lang w:val="en-GB" w:eastAsia="en-GB"/>
        </w:rPr>
        <w:t>involved in emergency procedures.</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6.2. Environmental precautions</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must not penetrate into the sewer system or come into contact with surface water or ground water.</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6.3. Methods and material for containment and cleaning up</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Collect the leaked </w:t>
      </w:r>
      <w:r>
        <w:rPr>
          <w:rFonts w:ascii="Arial" w:hAnsi="Arial" w:cs="Arial"/>
          <w:color w:val="000000"/>
          <w:sz w:val="16"/>
          <w:szCs w:val="16"/>
          <w:lang w:val="en-GB" w:eastAsia="en-GB"/>
        </w:rPr>
        <w:t>product into a suitable container. If the product is flammable, use explosion-proof equipment. Evaluate the compatibility of the container to be used, by checking section 10. Absorb the remainder with inert absorbent material.</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Make sure the leakage site is</w:t>
      </w:r>
      <w:r>
        <w:rPr>
          <w:rFonts w:ascii="Arial" w:hAnsi="Arial" w:cs="Arial"/>
          <w:color w:val="000000"/>
          <w:sz w:val="16"/>
          <w:szCs w:val="16"/>
          <w:lang w:val="en-GB" w:eastAsia="en-GB"/>
        </w:rPr>
        <w:t xml:space="preserve"> well aired. Contaminated material should be disposed of in compliance with the provisions set forth in point 13.</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6.4. Reference to other sections</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Any information on personal protection and disposal is given in sections 8 and 13.</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7. Handling a</w:t>
            </w:r>
            <w:r>
              <w:rPr>
                <w:rFonts w:ascii="Arial" w:hAnsi="Arial" w:cs="Arial"/>
                <w:b/>
                <w:bCs/>
                <w:color w:val="000000"/>
                <w:sz w:val="22"/>
                <w:szCs w:val="22"/>
                <w:lang w:val="en-GB" w:eastAsia="en-GB"/>
              </w:rPr>
              <w:t>nd storage</w:t>
            </w:r>
          </w:p>
        </w:tc>
      </w:tr>
    </w:tbl>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7.1. Precautions for safe handling</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Before handling the product, consult all the other sections of this material safety data sheet. Avoid leakage of the product into the environment. Do not eat, drink or smoke during use. Wash hands after use.</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7.2. Conditions for safe storage, including any incompatibilities</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Keep the product in clearly labelled containers. Store the containers sealed, in a well ventilated place, away from direct sunlight.</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7.3. Specific end use(s)</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65026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8. Exposure controls/personal protection</w:t>
            </w:r>
          </w:p>
        </w:tc>
      </w:tr>
    </w:tbl>
    <w:p w:rsidR="00000000" w:rsidRDefault="0065026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8.1. Control parameters</w:t>
            </w:r>
          </w:p>
        </w:tc>
      </w:tr>
    </w:tbl>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65026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8.2. Exposure controls</w:t>
            </w:r>
          </w:p>
        </w:tc>
      </w:tr>
    </w:tbl>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As the use of adequate technical equipment must always take priority over personal protective equipment, make sure that the workplace is well aired through effective local aspiration.</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When choosing personal protective equipment, ask your chemical substance</w:t>
      </w:r>
      <w:r>
        <w:rPr>
          <w:rFonts w:ascii="Arial" w:hAnsi="Arial" w:cs="Arial"/>
          <w:color w:val="000000"/>
          <w:sz w:val="16"/>
          <w:szCs w:val="16"/>
          <w:lang w:val="en-GB" w:eastAsia="en-GB"/>
        </w:rPr>
        <w:t xml:space="preserve"> supplier for advice.</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Personal protective equipment must be CE marked, showing that it complies with applicable standards.</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HAND PROTECTION</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Protect hands with category III work gloves (see standard EN 374).</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The following should be considered when choosing </w:t>
      </w:r>
      <w:r>
        <w:rPr>
          <w:rFonts w:ascii="Arial" w:hAnsi="Arial" w:cs="Arial"/>
          <w:color w:val="000000"/>
          <w:sz w:val="16"/>
          <w:szCs w:val="16"/>
          <w:lang w:val="en-GB" w:eastAsia="en-GB"/>
        </w:rPr>
        <w:t>work glove material: compatibility, degradation, failure time and permeability.</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work gloves' resistance to chemical agents should be checked before use, as it can be unpredictable. The gloves' wear time depends on the duration and type of use.</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SKIN PR</w:t>
      </w:r>
      <w:r>
        <w:rPr>
          <w:rFonts w:ascii="Arial" w:hAnsi="Arial" w:cs="Arial"/>
          <w:color w:val="000000"/>
          <w:sz w:val="16"/>
          <w:szCs w:val="16"/>
          <w:lang w:val="en-GB" w:eastAsia="en-GB"/>
        </w:rPr>
        <w:t>OTECTION</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category I professional long-sleeved overalls and safety footwear (see Directive 89/686/EEC and standard EN ISO 20344). Wash body with soap and water after removing protective clothing.</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 PROTECTION</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airtight protective goggles (see st</w:t>
      </w:r>
      <w:r>
        <w:rPr>
          <w:rFonts w:ascii="Arial" w:hAnsi="Arial" w:cs="Arial"/>
          <w:color w:val="000000"/>
          <w:sz w:val="16"/>
          <w:szCs w:val="16"/>
          <w:lang w:val="en-GB" w:eastAsia="en-GB"/>
        </w:rPr>
        <w:t>andard EN 166).</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RESPIRATORY PROTECTION</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If the threshold value (e.g. TLV-TWA) is exceeded for the substance or one of the substances present in the product, use a mask with a type B filter whose class (1, 2 or 3) must be chosen according to the limit of use concentration. (see standard EN 14387)</w:t>
      </w:r>
      <w:r>
        <w:rPr>
          <w:rFonts w:ascii="Arial" w:hAnsi="Arial" w:cs="Arial"/>
          <w:color w:val="000000"/>
          <w:sz w:val="16"/>
          <w:szCs w:val="16"/>
          <w:lang w:val="en-GB" w:eastAsia="en-GB"/>
        </w:rPr>
        <w:t>. In the presence of gases or vapours of various kinds and/or gases or vapours containing particulate (aerosol sprays, fumes, mists, etc.) combined filters are required.</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Respiratory protection devices must be used if the technical measures adopted are not </w:t>
      </w:r>
      <w:r>
        <w:rPr>
          <w:rFonts w:ascii="Arial" w:hAnsi="Arial" w:cs="Arial"/>
          <w:color w:val="000000"/>
          <w:sz w:val="16"/>
          <w:szCs w:val="16"/>
          <w:lang w:val="en-GB" w:eastAsia="en-GB"/>
        </w:rPr>
        <w:t>suitable for restricting the worker's exposure to the threshold values considered. The protection provided by masks is in any case limited.</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If the substance considered is odourless or its olfactory threshold is higher than the corresponding TLV-TWA and in </w:t>
      </w:r>
      <w:r>
        <w:rPr>
          <w:rFonts w:ascii="Arial" w:hAnsi="Arial" w:cs="Arial"/>
          <w:color w:val="000000"/>
          <w:sz w:val="16"/>
          <w:szCs w:val="16"/>
          <w:lang w:val="en-GB" w:eastAsia="en-GB"/>
        </w:rPr>
        <w:t xml:space="preserve">the case of an emergency, wear open-circuit compressed air breathing apparatus (in compliance with standard EN 137) or external air-intake breathing apparatus (in compliance with standard EN 138). For a correct choice of respiratory protection device, see </w:t>
      </w:r>
      <w:r>
        <w:rPr>
          <w:rFonts w:ascii="Arial" w:hAnsi="Arial" w:cs="Arial"/>
          <w:color w:val="000000"/>
          <w:sz w:val="16"/>
          <w:szCs w:val="16"/>
          <w:lang w:val="en-GB" w:eastAsia="en-GB"/>
        </w:rPr>
        <w:t>standard EN 529.</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ENVIRONMENTAL EXPOSURE CONTROLS</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emissions generated by manufacturing processes, including those generated by ventilation equipment, should be checked to ensure compliance with environmental standards.</w:t>
      </w:r>
    </w:p>
    <w:p w:rsidR="00000000" w:rsidRDefault="0065026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9. Physical and chemic</w:t>
            </w:r>
            <w:r>
              <w:rPr>
                <w:rFonts w:ascii="Arial" w:hAnsi="Arial" w:cs="Arial"/>
                <w:b/>
                <w:bCs/>
                <w:color w:val="000000"/>
                <w:sz w:val="22"/>
                <w:szCs w:val="22"/>
                <w:lang w:val="en-GB" w:eastAsia="en-GB"/>
              </w:rPr>
              <w:t>al properties</w:t>
            </w:r>
          </w:p>
        </w:tc>
      </w:tr>
    </w:tbl>
    <w:p w:rsidR="00000000" w:rsidRDefault="0065026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9.1. Information on basic physical and chemical properties</w:t>
            </w:r>
          </w:p>
        </w:tc>
      </w:tr>
    </w:tbl>
    <w:p w:rsidR="00000000" w:rsidRDefault="0065026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Appearance</w:t>
            </w:r>
          </w:p>
        </w:tc>
        <w:tc>
          <w:tcPr>
            <w:tcW w:w="5670" w:type="dxa"/>
            <w:shd w:val="clear" w:color="auto" w:fill="FFFFFF"/>
          </w:tcPr>
          <w:p w:rsidR="00000000" w:rsidRDefault="00650260">
            <w:pPr>
              <w:widowControl w:val="0"/>
              <w:autoSpaceDE w:val="0"/>
              <w:autoSpaceDN w:val="0"/>
              <w:adjustRightInd w:val="0"/>
              <w:rPr>
                <w:lang w:val="en-GB" w:eastAsia="en-GB"/>
              </w:rPr>
            </w:pPr>
            <w:r>
              <w:rPr>
                <w:rFonts w:ascii="Arial" w:hAnsi="Arial" w:cs="Arial"/>
                <w:color w:val="000000"/>
                <w:sz w:val="16"/>
                <w:szCs w:val="16"/>
                <w:lang w:val="en-GB" w:eastAsia="en-GB"/>
              </w:rPr>
              <w:t>liquid</w:t>
            </w:r>
          </w:p>
        </w:tc>
      </w:tr>
      <w:tr w:rsidR="00000000">
        <w:tblPrEx>
          <w:tblCellMar>
            <w:top w:w="0" w:type="dxa"/>
            <w:bottom w:w="0" w:type="dxa"/>
          </w:tblCellMar>
        </w:tblPrEx>
        <w:tc>
          <w:tcPr>
            <w:tcW w:w="3402"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Colour</w:t>
            </w:r>
          </w:p>
        </w:tc>
        <w:tc>
          <w:tcPr>
            <w:tcW w:w="5670" w:type="dxa"/>
            <w:shd w:val="clear" w:color="auto" w:fill="FFFFFF"/>
          </w:tcPr>
          <w:p w:rsidR="00000000" w:rsidRDefault="00650260">
            <w:pPr>
              <w:widowControl w:val="0"/>
              <w:autoSpaceDE w:val="0"/>
              <w:autoSpaceDN w:val="0"/>
              <w:adjustRightInd w:val="0"/>
              <w:rPr>
                <w:lang w:val="en-GB" w:eastAsia="en-GB"/>
              </w:rPr>
            </w:pPr>
            <w:r>
              <w:rPr>
                <w:rFonts w:ascii="Arial" w:hAnsi="Arial" w:cs="Arial"/>
                <w:color w:val="000000"/>
                <w:sz w:val="16"/>
                <w:szCs w:val="16"/>
                <w:lang w:val="en-GB" w:eastAsia="en-GB"/>
              </w:rPr>
              <w:t>red</w:t>
            </w:r>
          </w:p>
        </w:tc>
      </w:tr>
      <w:tr w:rsidR="00000000">
        <w:tblPrEx>
          <w:tblCellMar>
            <w:top w:w="0" w:type="dxa"/>
            <w:bottom w:w="0" w:type="dxa"/>
          </w:tblCellMar>
        </w:tblPrEx>
        <w:tc>
          <w:tcPr>
            <w:tcW w:w="3402"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w:t>
            </w:r>
          </w:p>
        </w:tc>
        <w:tc>
          <w:tcPr>
            <w:tcW w:w="5670" w:type="dxa"/>
            <w:shd w:val="clear" w:color="auto" w:fill="FFFFFF"/>
          </w:tcPr>
          <w:p w:rsidR="00000000" w:rsidRDefault="00650260">
            <w:pPr>
              <w:widowControl w:val="0"/>
              <w:autoSpaceDE w:val="0"/>
              <w:autoSpaceDN w:val="0"/>
              <w:adjustRightInd w:val="0"/>
              <w:rPr>
                <w:lang w:val="en-GB" w:eastAsia="en-GB"/>
              </w:rPr>
            </w:pPr>
            <w:r>
              <w:rPr>
                <w:rFonts w:ascii="Arial" w:hAnsi="Arial" w:cs="Arial"/>
                <w:color w:val="000000"/>
                <w:sz w:val="16"/>
                <w:szCs w:val="16"/>
                <w:lang w:val="en-GB" w:eastAsia="en-GB"/>
              </w:rPr>
              <w:t>characteristic</w:t>
            </w:r>
          </w:p>
        </w:tc>
      </w:tr>
      <w:tr w:rsidR="00000000">
        <w:tblPrEx>
          <w:tblCellMar>
            <w:top w:w="0" w:type="dxa"/>
            <w:bottom w:w="0" w:type="dxa"/>
          </w:tblCellMar>
        </w:tblPrEx>
        <w:tc>
          <w:tcPr>
            <w:tcW w:w="3402"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 threshold</w:t>
            </w:r>
          </w:p>
        </w:tc>
        <w:tc>
          <w:tcPr>
            <w:tcW w:w="5670" w:type="dxa"/>
            <w:shd w:val="clear" w:color="auto" w:fill="FFFFFF"/>
          </w:tcPr>
          <w:p w:rsidR="00000000" w:rsidRDefault="0065026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pH</w:t>
            </w:r>
          </w:p>
        </w:tc>
        <w:tc>
          <w:tcPr>
            <w:tcW w:w="5670" w:type="dxa"/>
            <w:shd w:val="clear" w:color="auto" w:fill="FFFFFF"/>
          </w:tcPr>
          <w:p w:rsidR="00000000" w:rsidRDefault="00650260">
            <w:pPr>
              <w:widowControl w:val="0"/>
              <w:autoSpaceDE w:val="0"/>
              <w:autoSpaceDN w:val="0"/>
              <w:adjustRightInd w:val="0"/>
              <w:rPr>
                <w:lang w:val="en-GB" w:eastAsia="en-GB"/>
              </w:rPr>
            </w:pPr>
            <w:r>
              <w:rPr>
                <w:rFonts w:ascii="Arial" w:hAnsi="Arial" w:cs="Arial"/>
                <w:color w:val="000000"/>
                <w:sz w:val="16"/>
                <w:szCs w:val="16"/>
                <w:lang w:val="en-GB" w:eastAsia="en-GB"/>
              </w:rPr>
              <w:t>8-10</w:t>
            </w:r>
          </w:p>
        </w:tc>
      </w:tr>
      <w:tr w:rsidR="00000000">
        <w:tblPrEx>
          <w:tblCellMar>
            <w:top w:w="0" w:type="dxa"/>
            <w:bottom w:w="0" w:type="dxa"/>
          </w:tblCellMar>
        </w:tblPrEx>
        <w:tc>
          <w:tcPr>
            <w:tcW w:w="3402"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Melting point / freezing point</w:t>
            </w:r>
          </w:p>
        </w:tc>
        <w:tc>
          <w:tcPr>
            <w:tcW w:w="5670" w:type="dxa"/>
            <w:shd w:val="clear" w:color="auto" w:fill="FFFFFF"/>
          </w:tcPr>
          <w:p w:rsidR="00000000" w:rsidRDefault="0065026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Initial boiling point</w:t>
            </w:r>
          </w:p>
        </w:tc>
        <w:tc>
          <w:tcPr>
            <w:tcW w:w="5670" w:type="dxa"/>
            <w:shd w:val="clear" w:color="auto" w:fill="FFFFFF"/>
          </w:tcPr>
          <w:p w:rsidR="00000000" w:rsidRDefault="0065026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Boiling range</w:t>
            </w:r>
          </w:p>
        </w:tc>
        <w:tc>
          <w:tcPr>
            <w:tcW w:w="5670" w:type="dxa"/>
            <w:shd w:val="clear" w:color="auto" w:fill="FFFFFF"/>
          </w:tcPr>
          <w:p w:rsidR="00000000" w:rsidRDefault="0065026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Flash point</w:t>
            </w:r>
          </w:p>
        </w:tc>
        <w:tc>
          <w:tcPr>
            <w:tcW w:w="5670" w:type="dxa"/>
            <w:shd w:val="clear" w:color="auto" w:fill="FFFFFF"/>
          </w:tcPr>
          <w:p w:rsidR="00000000" w:rsidRDefault="00650260">
            <w:pPr>
              <w:widowControl w:val="0"/>
              <w:autoSpaceDE w:val="0"/>
              <w:autoSpaceDN w:val="0"/>
              <w:adjustRightInd w:val="0"/>
              <w:rPr>
                <w:lang w:val="en-GB" w:eastAsia="en-GB"/>
              </w:rPr>
            </w:pPr>
            <w:r>
              <w:rPr>
                <w:rFonts w:ascii="Arial" w:hAnsi="Arial" w:cs="Arial"/>
                <w:color w:val="000000"/>
                <w:sz w:val="16"/>
                <w:szCs w:val="16"/>
                <w:lang w:val="en-GB" w:eastAsia="en-GB"/>
              </w:rPr>
              <w:t>&gt; 100 °C</w:t>
            </w:r>
          </w:p>
        </w:tc>
      </w:tr>
      <w:tr w:rsidR="00000000">
        <w:tblPrEx>
          <w:tblCellMar>
            <w:top w:w="0" w:type="dxa"/>
            <w:bottom w:w="0" w:type="dxa"/>
          </w:tblCellMar>
        </w:tblPrEx>
        <w:tc>
          <w:tcPr>
            <w:tcW w:w="3402"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Evaporation Rate</w:t>
            </w:r>
          </w:p>
        </w:tc>
        <w:tc>
          <w:tcPr>
            <w:tcW w:w="5670" w:type="dxa"/>
            <w:shd w:val="clear" w:color="auto" w:fill="FFFFFF"/>
          </w:tcPr>
          <w:p w:rsidR="00000000" w:rsidRDefault="0065026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Flammability of solids and gases</w:t>
            </w:r>
          </w:p>
        </w:tc>
        <w:tc>
          <w:tcPr>
            <w:tcW w:w="5670" w:type="dxa"/>
            <w:shd w:val="clear" w:color="auto" w:fill="FFFFFF"/>
          </w:tcPr>
          <w:p w:rsidR="00000000" w:rsidRDefault="0065026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inflammability limit</w:t>
            </w:r>
          </w:p>
        </w:tc>
        <w:tc>
          <w:tcPr>
            <w:tcW w:w="5670" w:type="dxa"/>
            <w:shd w:val="clear" w:color="auto" w:fill="FFFFFF"/>
          </w:tcPr>
          <w:p w:rsidR="00000000" w:rsidRDefault="0065026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inflammability limit</w:t>
            </w:r>
          </w:p>
        </w:tc>
        <w:tc>
          <w:tcPr>
            <w:tcW w:w="5670" w:type="dxa"/>
            <w:shd w:val="clear" w:color="auto" w:fill="FFFFFF"/>
          </w:tcPr>
          <w:p w:rsidR="00000000" w:rsidRDefault="0065026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explosive limit</w:t>
            </w:r>
          </w:p>
        </w:tc>
        <w:tc>
          <w:tcPr>
            <w:tcW w:w="5670" w:type="dxa"/>
            <w:shd w:val="clear" w:color="auto" w:fill="FFFFFF"/>
          </w:tcPr>
          <w:p w:rsidR="00000000" w:rsidRDefault="0065026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explosive limit</w:t>
            </w:r>
          </w:p>
        </w:tc>
        <w:tc>
          <w:tcPr>
            <w:tcW w:w="5670" w:type="dxa"/>
            <w:shd w:val="clear" w:color="auto" w:fill="FFFFFF"/>
          </w:tcPr>
          <w:p w:rsidR="00000000" w:rsidRDefault="0065026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pressure</w:t>
            </w:r>
          </w:p>
        </w:tc>
        <w:tc>
          <w:tcPr>
            <w:tcW w:w="5670" w:type="dxa"/>
            <w:shd w:val="clear" w:color="auto" w:fill="FFFFFF"/>
          </w:tcPr>
          <w:p w:rsidR="00000000" w:rsidRDefault="0065026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density</w:t>
            </w:r>
          </w:p>
        </w:tc>
        <w:tc>
          <w:tcPr>
            <w:tcW w:w="5670" w:type="dxa"/>
            <w:shd w:val="clear" w:color="auto" w:fill="FFFFFF"/>
          </w:tcPr>
          <w:p w:rsidR="00000000" w:rsidRDefault="0065026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Relative density</w:t>
            </w:r>
          </w:p>
        </w:tc>
        <w:tc>
          <w:tcPr>
            <w:tcW w:w="5670" w:type="dxa"/>
            <w:shd w:val="clear" w:color="auto" w:fill="FFFFFF"/>
          </w:tcPr>
          <w:p w:rsidR="00000000" w:rsidRDefault="0065026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Solubility</w:t>
            </w:r>
          </w:p>
        </w:tc>
        <w:tc>
          <w:tcPr>
            <w:tcW w:w="5670" w:type="dxa"/>
            <w:shd w:val="clear" w:color="auto" w:fill="FFFFFF"/>
          </w:tcPr>
          <w:p w:rsidR="00000000" w:rsidRDefault="00650260">
            <w:pPr>
              <w:widowControl w:val="0"/>
              <w:autoSpaceDE w:val="0"/>
              <w:autoSpaceDN w:val="0"/>
              <w:adjustRightInd w:val="0"/>
              <w:rPr>
                <w:lang w:val="en-GB" w:eastAsia="en-GB"/>
              </w:rPr>
            </w:pPr>
            <w:r>
              <w:rPr>
                <w:rFonts w:ascii="Arial" w:hAnsi="Arial" w:cs="Arial"/>
                <w:color w:val="000000"/>
                <w:sz w:val="16"/>
                <w:szCs w:val="16"/>
                <w:lang w:val="en-GB" w:eastAsia="en-GB"/>
              </w:rPr>
              <w:t>miscible</w:t>
            </w:r>
          </w:p>
        </w:tc>
      </w:tr>
      <w:tr w:rsidR="00000000">
        <w:tblPrEx>
          <w:tblCellMar>
            <w:top w:w="0" w:type="dxa"/>
            <w:bottom w:w="0" w:type="dxa"/>
          </w:tblCellMar>
        </w:tblPrEx>
        <w:tc>
          <w:tcPr>
            <w:tcW w:w="3402"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n-octanol/water</w:t>
            </w:r>
          </w:p>
        </w:tc>
        <w:tc>
          <w:tcPr>
            <w:tcW w:w="5670" w:type="dxa"/>
            <w:shd w:val="clear" w:color="auto" w:fill="FFFFFF"/>
          </w:tcPr>
          <w:p w:rsidR="00000000" w:rsidRDefault="0065026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Auto-ignition temperature</w:t>
            </w:r>
          </w:p>
        </w:tc>
        <w:tc>
          <w:tcPr>
            <w:tcW w:w="5670" w:type="dxa"/>
            <w:shd w:val="clear" w:color="auto" w:fill="FFFFFF"/>
          </w:tcPr>
          <w:p w:rsidR="00000000" w:rsidRDefault="0065026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Decomposition temperature</w:t>
            </w:r>
          </w:p>
        </w:tc>
        <w:tc>
          <w:tcPr>
            <w:tcW w:w="5670" w:type="dxa"/>
            <w:shd w:val="clear" w:color="auto" w:fill="FFFFFF"/>
          </w:tcPr>
          <w:p w:rsidR="00000000" w:rsidRDefault="0065026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Viscosity</w:t>
            </w:r>
          </w:p>
        </w:tc>
        <w:tc>
          <w:tcPr>
            <w:tcW w:w="5670" w:type="dxa"/>
            <w:shd w:val="clear" w:color="auto" w:fill="FFFFFF"/>
          </w:tcPr>
          <w:p w:rsidR="00000000" w:rsidRDefault="0065026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Explosive properties</w:t>
            </w:r>
          </w:p>
        </w:tc>
        <w:tc>
          <w:tcPr>
            <w:tcW w:w="5670" w:type="dxa"/>
            <w:shd w:val="clear" w:color="auto" w:fill="FFFFFF"/>
          </w:tcPr>
          <w:p w:rsidR="00000000" w:rsidRDefault="0065026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Oxidising properties</w:t>
            </w:r>
          </w:p>
        </w:tc>
        <w:tc>
          <w:tcPr>
            <w:tcW w:w="5670" w:type="dxa"/>
            <w:shd w:val="clear" w:color="auto" w:fill="FFFFFF"/>
          </w:tcPr>
          <w:p w:rsidR="00000000" w:rsidRDefault="0065026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bl>
    <w:p w:rsidR="00000000" w:rsidRDefault="0065026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9.2. Other information</w:t>
            </w:r>
          </w:p>
        </w:tc>
      </w:tr>
    </w:tbl>
    <w:p w:rsidR="00000000" w:rsidRDefault="0065026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Total solids (250°C / 482°F)</w:t>
            </w:r>
          </w:p>
        </w:tc>
        <w:tc>
          <w:tcPr>
            <w:tcW w:w="5670" w:type="dxa"/>
            <w:shd w:val="clear" w:color="auto" w:fill="FFFFFF"/>
          </w:tcPr>
          <w:p w:rsidR="00000000" w:rsidRDefault="00650260">
            <w:pPr>
              <w:widowControl w:val="0"/>
              <w:autoSpaceDE w:val="0"/>
              <w:autoSpaceDN w:val="0"/>
              <w:adjustRightInd w:val="0"/>
              <w:rPr>
                <w:lang w:val="en-GB" w:eastAsia="en-GB"/>
              </w:rPr>
            </w:pPr>
            <w:r>
              <w:rPr>
                <w:rFonts w:ascii="Arial" w:hAnsi="Arial" w:cs="Arial"/>
                <w:color w:val="000000"/>
                <w:sz w:val="16"/>
                <w:szCs w:val="16"/>
                <w:lang w:val="en-GB" w:eastAsia="en-GB"/>
              </w:rPr>
              <w:t>3,00 %</w:t>
            </w:r>
          </w:p>
        </w:tc>
      </w:tr>
      <w:tr w:rsidR="00000000">
        <w:tblPrEx>
          <w:tblCellMar>
            <w:top w:w="0" w:type="dxa"/>
            <w:bottom w:w="0" w:type="dxa"/>
          </w:tblCellMar>
        </w:tblPrEx>
        <w:tc>
          <w:tcPr>
            <w:tcW w:w="3402"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(Directive 2010/75/EC) :</w:t>
            </w:r>
          </w:p>
        </w:tc>
        <w:tc>
          <w:tcPr>
            <w:tcW w:w="5670" w:type="dxa"/>
            <w:shd w:val="clear" w:color="auto" w:fill="FFFFFF"/>
          </w:tcPr>
          <w:p w:rsidR="00000000" w:rsidRDefault="00650260">
            <w:pPr>
              <w:widowControl w:val="0"/>
              <w:autoSpaceDE w:val="0"/>
              <w:autoSpaceDN w:val="0"/>
              <w:adjustRightInd w:val="0"/>
              <w:rPr>
                <w:lang w:val="en-GB" w:eastAsia="en-GB"/>
              </w:rPr>
            </w:pPr>
            <w:r>
              <w:rPr>
                <w:rFonts w:ascii="Arial" w:hAnsi="Arial" w:cs="Arial"/>
                <w:color w:val="000000"/>
                <w:sz w:val="16"/>
                <w:szCs w:val="16"/>
                <w:lang w:val="en-GB" w:eastAsia="en-GB"/>
              </w:rPr>
              <w:t>0,03 %    -    0,33    g/litre</w:t>
            </w:r>
          </w:p>
        </w:tc>
      </w:tr>
      <w:tr w:rsidR="00000000">
        <w:tblPrEx>
          <w:tblCellMar>
            <w:top w:w="0" w:type="dxa"/>
            <w:bottom w:w="0" w:type="dxa"/>
          </w:tblCellMar>
        </w:tblPrEx>
        <w:tc>
          <w:tcPr>
            <w:tcW w:w="3402"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(volatile carbon) :</w:t>
            </w:r>
          </w:p>
        </w:tc>
        <w:tc>
          <w:tcPr>
            <w:tcW w:w="5670" w:type="dxa"/>
            <w:shd w:val="clear" w:color="auto" w:fill="FFFFFF"/>
          </w:tcPr>
          <w:p w:rsidR="00000000" w:rsidRDefault="00650260">
            <w:pPr>
              <w:widowControl w:val="0"/>
              <w:autoSpaceDE w:val="0"/>
              <w:autoSpaceDN w:val="0"/>
              <w:adjustRightInd w:val="0"/>
              <w:rPr>
                <w:lang w:val="en-GB" w:eastAsia="en-GB"/>
              </w:rPr>
            </w:pPr>
            <w:r>
              <w:rPr>
                <w:rFonts w:ascii="Arial" w:hAnsi="Arial" w:cs="Arial"/>
                <w:color w:val="000000"/>
                <w:sz w:val="16"/>
                <w:szCs w:val="16"/>
                <w:lang w:val="en-GB" w:eastAsia="en-GB"/>
              </w:rPr>
              <w:t>0,02 %    -    0,18    g/litre</w:t>
            </w:r>
          </w:p>
        </w:tc>
      </w:tr>
    </w:tbl>
    <w:p w:rsidR="00000000" w:rsidRDefault="0065026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10. Stability and reactivity</w:t>
            </w:r>
          </w:p>
        </w:tc>
      </w:tr>
    </w:tbl>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10.1. Reactivity</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There are no particular risks of reaction with other substances in normal conditions of use.</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10.2. Chemical stability</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stable in normal conditions of use and storage.</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10.3. Possibility of hazardous reactions</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hazardous reactions are for</w:t>
      </w:r>
      <w:r>
        <w:rPr>
          <w:rFonts w:ascii="Arial" w:hAnsi="Arial" w:cs="Arial"/>
          <w:color w:val="000000"/>
          <w:sz w:val="16"/>
          <w:szCs w:val="16"/>
          <w:lang w:val="en-GB" w:eastAsia="en-GB"/>
        </w:rPr>
        <w:t>eseeable in normal conditions of use and storage.</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10.4. Conditions to avoid</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particular. However the usual precautions used for chemical products should be respected.</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10.5. Incompatible materials</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10.6. Hazardous decomp</w:t>
      </w:r>
      <w:r>
        <w:rPr>
          <w:rFonts w:ascii="Arial" w:hAnsi="Arial" w:cs="Arial"/>
          <w:b/>
          <w:bCs/>
          <w:color w:val="000000"/>
          <w:sz w:val="16"/>
          <w:szCs w:val="16"/>
          <w:lang w:val="en-GB" w:eastAsia="en-GB"/>
        </w:rPr>
        <w:t>osition products</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11. Toxicological information</w:t>
            </w:r>
          </w:p>
        </w:tc>
      </w:tr>
    </w:tbl>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11.1. Information on toxicological effects</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Metabolism, toxicokinetics, mechanism of action and other information</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Information on likely routes of exposure</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Delayed and immediate effects as well as chronic effects from short and long-term exposure</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Interactive effects</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lastRenderedPageBreak/>
        <w:t>ACUTE TOXICITY</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LC50 (Inhalation) of the mixture:Not classified (no significant component)</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(Oral) of the mixture:Not classified (no significant component)</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(Dermal) of the mixture:Not classified (no significant component)</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SKIN CORROSION / IRRITATION</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w:t>
      </w:r>
      <w:r>
        <w:rPr>
          <w:rFonts w:ascii="Arial" w:hAnsi="Arial" w:cs="Arial"/>
          <w:color w:val="000000"/>
          <w:sz w:val="16"/>
          <w:szCs w:val="16"/>
          <w:lang w:val="en-GB" w:eastAsia="en-GB"/>
        </w:rPr>
        <w:t>eet the classification criteria for this hazard class</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SERIOUS EYE DAMAGE / IRRITATION</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RESPIRATORY OR SKIN SENSITISATION</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r>
        <w:rPr>
          <w:rFonts w:ascii="Arial" w:hAnsi="Arial" w:cs="Arial"/>
          <w:color w:val="000000"/>
          <w:sz w:val="16"/>
          <w:szCs w:val="16"/>
          <w:lang w:val="en-GB" w:eastAsia="en-GB"/>
        </w:rPr>
        <w:t>May produce an allergic reaction.Contains:</w:t>
      </w:r>
    </w:p>
    <w:p w:rsidR="00000000" w:rsidRDefault="0065026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GERM CELL MUTAGENICITY</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r>
        <w:rPr>
          <w:rFonts w:ascii="Arial" w:hAnsi="Arial" w:cs="Arial"/>
          <w:color w:val="000000"/>
          <w:sz w:val="16"/>
          <w:szCs w:val="16"/>
          <w:lang w:val="en-GB" w:eastAsia="en-GB"/>
        </w:rPr>
        <w:t>D</w:t>
      </w:r>
      <w:r>
        <w:rPr>
          <w:rFonts w:ascii="Arial" w:hAnsi="Arial" w:cs="Arial"/>
          <w:color w:val="000000"/>
          <w:sz w:val="16"/>
          <w:szCs w:val="16"/>
          <w:lang w:val="en-GB" w:eastAsia="en-GB"/>
        </w:rPr>
        <w:t>oes not meet the classification criteria for this hazard class</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CARCINOGENICITY</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REPRODUCTIVE TOXICITY</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SINGLE EXPOSURE</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REPEATED EXPOSURE</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ASPIRATION HAZARD</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 xml:space="preserve">SECTION 12. </w:t>
            </w:r>
            <w:r>
              <w:rPr>
                <w:rFonts w:ascii="Arial" w:hAnsi="Arial" w:cs="Arial"/>
                <w:b/>
                <w:bCs/>
                <w:color w:val="000000"/>
                <w:sz w:val="22"/>
                <w:szCs w:val="22"/>
                <w:lang w:val="en-GB" w:eastAsia="en-GB"/>
              </w:rPr>
              <w:t>Ecological information</w:t>
            </w:r>
          </w:p>
        </w:tc>
      </w:tr>
    </w:tbl>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specific data are available for this product. Handle it according to good working practices. Avoid littering. Do not contaminate soil and waterways. Inform the competent authorities, should the product rea</w:t>
      </w:r>
      <w:r>
        <w:rPr>
          <w:rFonts w:ascii="Arial" w:hAnsi="Arial" w:cs="Arial"/>
          <w:color w:val="000000"/>
          <w:sz w:val="16"/>
          <w:szCs w:val="16"/>
          <w:lang w:val="en-GB" w:eastAsia="en-GB"/>
        </w:rPr>
        <w:t>ch waterways or contaminate soil or vegetation. Please take all the proper measures to reduce harmful effects on aquifers.</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12.1. Toxicity</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12.2. Persistence and degradability</w:t>
            </w:r>
          </w:p>
        </w:tc>
      </w:tr>
    </w:tbl>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 xml:space="preserve">12.3. Bioaccumulative </w:t>
      </w:r>
      <w:r>
        <w:rPr>
          <w:rFonts w:ascii="Arial" w:hAnsi="Arial" w:cs="Arial"/>
          <w:b/>
          <w:bCs/>
          <w:color w:val="000000"/>
          <w:sz w:val="16"/>
          <w:szCs w:val="16"/>
          <w:lang w:val="en-GB" w:eastAsia="en-GB"/>
        </w:rPr>
        <w:t>potential</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12.4. Mobility in soil</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12.5. Results of PBT and vPvB assessment</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000000" w:rsidRDefault="0065026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12.6. Other adverse effects</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13. Disposal considerations</w:t>
            </w:r>
          </w:p>
        </w:tc>
      </w:tr>
    </w:tbl>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13.1. Waste treatment methods</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Reuse, when possible. Neat product residues should be considered special non-hazardous waste.</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Disposal must be performed through a</w:t>
      </w:r>
      <w:r>
        <w:rPr>
          <w:rFonts w:ascii="Arial" w:hAnsi="Arial" w:cs="Arial"/>
          <w:color w:val="000000"/>
          <w:sz w:val="16"/>
          <w:szCs w:val="16"/>
          <w:lang w:val="en-GB" w:eastAsia="en-GB"/>
        </w:rPr>
        <w:t>n authorised waste management firm, in compliance with national and local regulations.</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CONTAMINATED PACKAGING </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Contaminated packaging must be recovered or disposed of in compliance with national waste management regulations.</w:t>
      </w:r>
    </w:p>
    <w:p w:rsidR="00000000" w:rsidRDefault="0065026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14. Transport informa</w:t>
            </w:r>
            <w:r>
              <w:rPr>
                <w:rFonts w:ascii="Arial" w:hAnsi="Arial" w:cs="Arial"/>
                <w:b/>
                <w:bCs/>
                <w:color w:val="000000"/>
                <w:sz w:val="22"/>
                <w:szCs w:val="22"/>
                <w:lang w:val="en-GB" w:eastAsia="en-GB"/>
              </w:rPr>
              <w:t>tion</w:t>
            </w:r>
          </w:p>
        </w:tc>
      </w:tr>
    </w:tbl>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dangerous under current provisions of the Code of Internationa</w:t>
      </w:r>
      <w:r>
        <w:rPr>
          <w:rFonts w:ascii="Arial" w:hAnsi="Arial" w:cs="Arial"/>
          <w:color w:val="000000"/>
          <w:sz w:val="16"/>
          <w:szCs w:val="16"/>
          <w:lang w:val="en-GB" w:eastAsia="en-GB"/>
        </w:rPr>
        <w:t>l Carriage of Dangerous Goods by Road (ADR) and by Rail (RID), of the International Maritime Dangerous Goods Code (IMDG), and of the International Air Transport Association (IATA) regulations.</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14.1. UN number</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14.2. UN proper shipping na</w:t>
      </w:r>
      <w:r>
        <w:rPr>
          <w:rFonts w:ascii="Arial" w:hAnsi="Arial" w:cs="Arial"/>
          <w:b/>
          <w:bCs/>
          <w:color w:val="000000"/>
          <w:sz w:val="16"/>
          <w:szCs w:val="16"/>
          <w:lang w:val="en-GB" w:eastAsia="en-GB"/>
        </w:rPr>
        <w:t>me</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14.3. Transport hazard class(es)</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14.4. Packing group</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lastRenderedPageBreak/>
        <w:t>14.5. Environmental hazards</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14.6. Special precautions for user</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14.7. Transport in bulk according to Annex II of Marpol and the IBC Code</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65026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15. Regulatory information</w:t>
            </w:r>
          </w:p>
        </w:tc>
      </w:tr>
    </w:tbl>
    <w:p w:rsidR="00000000" w:rsidRDefault="0065026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15.1. Safety, health and environmental regulations/legislation specific for the substance or mixture</w:t>
            </w:r>
          </w:p>
        </w:tc>
      </w:tr>
    </w:tbl>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Seveso Category - Directive 2012/18/EC: None</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Restrictions relating to the product or contained substances pursuant to Annex XVII to EC Regulation 1907/2006</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in Candidate List (Art. 59 REACH)</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SVHC in percentage greater than 0,1%.</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authorisarion (Annex XIV REACH)</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exportation reporting pursuant to (EC) Reg. 649/2012:</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Rotterdam Convention:</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Stockholm Convention:</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Healthcare controls</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15.2. Chemical safety assessment</w:t>
            </w:r>
          </w:p>
        </w:tc>
      </w:tr>
    </w:tbl>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chemical safety assessment has been processed for the mixture and the substances it contains.</w:t>
      </w:r>
    </w:p>
    <w:p w:rsidR="00000000" w:rsidRDefault="0065026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16. Other information</w:t>
            </w:r>
          </w:p>
        </w:tc>
      </w:tr>
    </w:tbl>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Text of hazard (H) indications mentioned in section 2-3 of the sheet:</w:t>
      </w:r>
    </w:p>
    <w:p w:rsidR="00000000" w:rsidRDefault="0065026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000000">
        <w:tblPrEx>
          <w:tblCellMar>
            <w:top w:w="0" w:type="dxa"/>
            <w:bottom w:w="0" w:type="dxa"/>
          </w:tblCellMar>
        </w:tblPrEx>
        <w:tc>
          <w:tcPr>
            <w:tcW w:w="1984"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Aquatic Chronic 3</w:t>
            </w:r>
          </w:p>
        </w:tc>
        <w:tc>
          <w:tcPr>
            <w:tcW w:w="6237" w:type="dxa"/>
            <w:shd w:val="clear" w:color="auto" w:fill="FFFFFF"/>
          </w:tcPr>
          <w:p w:rsidR="00000000" w:rsidRDefault="00650260">
            <w:pPr>
              <w:widowControl w:val="0"/>
              <w:autoSpaceDE w:val="0"/>
              <w:autoSpaceDN w:val="0"/>
              <w:adjustRightInd w:val="0"/>
              <w:rPr>
                <w:lang w:val="en-GB" w:eastAsia="en-GB"/>
              </w:rPr>
            </w:pPr>
            <w:r>
              <w:rPr>
                <w:rFonts w:ascii="Arial" w:hAnsi="Arial" w:cs="Arial"/>
                <w:color w:val="000000"/>
                <w:sz w:val="16"/>
                <w:szCs w:val="16"/>
                <w:lang w:val="en-GB" w:eastAsia="en-GB"/>
              </w:rPr>
              <w:t>Hazardous to the aquatic environmen</w:t>
            </w:r>
            <w:r>
              <w:rPr>
                <w:rFonts w:ascii="Arial" w:hAnsi="Arial" w:cs="Arial"/>
                <w:color w:val="000000"/>
                <w:sz w:val="16"/>
                <w:szCs w:val="16"/>
                <w:lang w:val="en-GB" w:eastAsia="en-GB"/>
              </w:rPr>
              <w:t>t, chronic toxicity, category 3</w:t>
            </w:r>
          </w:p>
        </w:tc>
        <w:tc>
          <w:tcPr>
            <w:tcW w:w="850" w:type="dxa"/>
            <w:shd w:val="clear" w:color="auto" w:fill="FFFFFF"/>
          </w:tcPr>
          <w:p w:rsidR="00000000" w:rsidRDefault="00650260">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H412</w:t>
            </w:r>
          </w:p>
        </w:tc>
        <w:tc>
          <w:tcPr>
            <w:tcW w:w="6237" w:type="dxa"/>
            <w:shd w:val="clear" w:color="auto" w:fill="FFFFFF"/>
          </w:tcPr>
          <w:p w:rsidR="00000000" w:rsidRDefault="00650260">
            <w:pPr>
              <w:widowControl w:val="0"/>
              <w:autoSpaceDE w:val="0"/>
              <w:autoSpaceDN w:val="0"/>
              <w:adjustRightInd w:val="0"/>
              <w:rPr>
                <w:lang w:val="en-GB" w:eastAsia="en-GB"/>
              </w:rPr>
            </w:pPr>
            <w:r>
              <w:rPr>
                <w:rFonts w:ascii="Arial" w:hAnsi="Arial" w:cs="Arial"/>
                <w:color w:val="000000"/>
                <w:sz w:val="16"/>
                <w:szCs w:val="16"/>
                <w:lang w:val="en-GB" w:eastAsia="en-GB"/>
              </w:rPr>
              <w:t>Harmful to aquatic life with long lasting effects.</w:t>
            </w:r>
          </w:p>
        </w:tc>
        <w:tc>
          <w:tcPr>
            <w:tcW w:w="850" w:type="dxa"/>
            <w:shd w:val="clear" w:color="auto" w:fill="FFFFFF"/>
          </w:tcPr>
          <w:p w:rsidR="00000000" w:rsidRDefault="00650260">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65026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EUH210</w:t>
            </w:r>
          </w:p>
        </w:tc>
        <w:tc>
          <w:tcPr>
            <w:tcW w:w="6237" w:type="dxa"/>
            <w:shd w:val="clear" w:color="auto" w:fill="FFFFFF"/>
          </w:tcPr>
          <w:p w:rsidR="00000000" w:rsidRDefault="00650260">
            <w:pPr>
              <w:widowControl w:val="0"/>
              <w:autoSpaceDE w:val="0"/>
              <w:autoSpaceDN w:val="0"/>
              <w:adjustRightInd w:val="0"/>
              <w:rPr>
                <w:lang w:val="en-GB" w:eastAsia="en-GB"/>
              </w:rPr>
            </w:pPr>
            <w:r>
              <w:rPr>
                <w:rFonts w:ascii="Arial" w:hAnsi="Arial" w:cs="Arial"/>
                <w:color w:val="000000"/>
                <w:sz w:val="16"/>
                <w:szCs w:val="16"/>
                <w:lang w:val="en-GB" w:eastAsia="en-GB"/>
              </w:rPr>
              <w:t>Safety data sheet available on request.</w:t>
            </w:r>
          </w:p>
        </w:tc>
        <w:tc>
          <w:tcPr>
            <w:tcW w:w="850" w:type="dxa"/>
            <w:shd w:val="clear" w:color="auto" w:fill="FFFFFF"/>
          </w:tcPr>
          <w:p w:rsidR="00000000" w:rsidRDefault="00650260">
            <w:pPr>
              <w:widowControl w:val="0"/>
              <w:autoSpaceDE w:val="0"/>
              <w:autoSpaceDN w:val="0"/>
              <w:adjustRightInd w:val="0"/>
              <w:rPr>
                <w:lang w:val="en-GB" w:eastAsia="en-GB"/>
              </w:rPr>
            </w:pPr>
          </w:p>
        </w:tc>
      </w:tr>
    </w:tbl>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LEGEND:</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ADR: European Agreement concerning the carriage of Dangerous goods by Road</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CAS NUMBER: Chemical Abstract Service Number </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CE50: Effective concentration (required to induce a 50% effect)</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 NUMBER: Identifier in ESIS (European archive of existing substances)</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CLP: EC Regulation 1272/2008</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DNEL: Derived No Effect Level</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EmS</w:t>
      </w:r>
      <w:r>
        <w:rPr>
          <w:rFonts w:ascii="Arial" w:hAnsi="Arial" w:cs="Arial"/>
          <w:color w:val="000000"/>
          <w:sz w:val="16"/>
          <w:szCs w:val="16"/>
          <w:lang w:val="en-GB" w:eastAsia="en-GB"/>
        </w:rPr>
        <w:t>: Emergency Schedule</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GHS: Globally Harmonized System of classification and labeling of chemicals</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IATA DGR: International Air Transport Association Dangerous Goods Regulation</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IC50: Immobilization Concentration 50% </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IMDG: International Maritime Code for dangerous goods</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IMO: International Maritime Organization</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INDEX NUMBER: Identifier in Annex VI of CLP</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LC50: Lethal Concentration 50%</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LD50: Lethal dose 50%</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OEL: Occupational Exposure Level</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PBT: Persistent b</w:t>
      </w:r>
      <w:r>
        <w:rPr>
          <w:rFonts w:ascii="Arial" w:hAnsi="Arial" w:cs="Arial"/>
          <w:color w:val="000000"/>
          <w:sz w:val="16"/>
          <w:szCs w:val="16"/>
          <w:lang w:val="en-GB" w:eastAsia="en-GB"/>
        </w:rPr>
        <w:t xml:space="preserve">ioaccumulative and toxic as REACH Regulation </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PEC: Predicted environmental Concentration</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PEL: Predicted exposure level</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PNEC: Predicted no effect concentration</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REACH: EC Regulation 1907/2006 </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RID: Regulation concerning the international transport </w:t>
      </w:r>
      <w:r>
        <w:rPr>
          <w:rFonts w:ascii="Arial" w:hAnsi="Arial" w:cs="Arial"/>
          <w:color w:val="000000"/>
          <w:sz w:val="16"/>
          <w:szCs w:val="16"/>
          <w:lang w:val="en-GB" w:eastAsia="en-GB"/>
        </w:rPr>
        <w:t>of dangerous goods by train</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Threshold Limit Value</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CEILING: Concentration that should not be exceeded during any time of occupational exposure.</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STEL: Short-term exposure limit</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Time-weighted average exposure limit</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VOC: Volatile or</w:t>
      </w:r>
      <w:r>
        <w:rPr>
          <w:rFonts w:ascii="Arial" w:hAnsi="Arial" w:cs="Arial"/>
          <w:color w:val="000000"/>
          <w:sz w:val="16"/>
          <w:szCs w:val="16"/>
          <w:lang w:val="en-GB" w:eastAsia="en-GB"/>
        </w:rPr>
        <w:t>ganic Compounds</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vPvB: Very Persistent and very Bioaccumulative as for REACH Regulation</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WGK: Water hazard classes (German).</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BIBLIOGRAPHY</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 Regulation (EC) 1907/2006 (REACH) of the European Parliament</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2. Regulation (EC) 1272/2008 (CLP) of the </w:t>
      </w:r>
      <w:r>
        <w:rPr>
          <w:rFonts w:ascii="Arial" w:hAnsi="Arial" w:cs="Arial"/>
          <w:color w:val="000000"/>
          <w:sz w:val="16"/>
          <w:szCs w:val="16"/>
          <w:lang w:val="en-GB" w:eastAsia="en-GB"/>
        </w:rPr>
        <w:t>European Parliament</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3. Regulation (EU) 790/2009 (I Atp. CLP) of the European Parliament</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4. Regulation (EU) 2015/830 of the European Parliament</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5. Regulation (EU) 286/2011 (II Atp. CLP) of the European Parliament</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6. Regulation (EU) 618/2012 (III Atp. CLP) of the European Parliament</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7. Regulation (EU) 487/2013 (IV Atp. CLP) of the European Parliament</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8. Regulation (EU) 944/2013 (V Atp. CLP) of the European Parliament</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9. Regulation (EU) 605/2014 (VI Atp. CLP) of the </w:t>
      </w:r>
      <w:r>
        <w:rPr>
          <w:rFonts w:ascii="Arial" w:hAnsi="Arial" w:cs="Arial"/>
          <w:color w:val="000000"/>
          <w:sz w:val="16"/>
          <w:szCs w:val="16"/>
          <w:lang w:val="en-GB" w:eastAsia="en-GB"/>
        </w:rPr>
        <w:t>European Parliament</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10. Regulation (EU) 2015/1221 (VII Atp. CLP) of the European Parliament</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11. Regulation (EU) 2016/918 (VIII Atp. CLP) of the European Parliament</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12. Regulation (EU) 2016/1179 (IX Atp. CLP)</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13. Regulation (EU) 2017/776 (X Atp. CLP)</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The </w:t>
      </w:r>
      <w:r>
        <w:rPr>
          <w:rFonts w:ascii="Arial" w:hAnsi="Arial" w:cs="Arial"/>
          <w:color w:val="000000"/>
          <w:sz w:val="16"/>
          <w:szCs w:val="16"/>
          <w:lang w:val="en-GB" w:eastAsia="en-GB"/>
        </w:rPr>
        <w:t>Merck Index. - 10th Edition</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Handling Chemical Safety</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INRS - Fiche Toxicologique (toxicological sheet)</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Patty - Industrial Hygiene and Toxicology</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N.I. Sax - Dangerous properties of Industrial Materials-7, 1989 Edition</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IFA GESTIS website</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 ECHA webs</w:t>
      </w:r>
      <w:r>
        <w:rPr>
          <w:rFonts w:ascii="Arial" w:hAnsi="Arial" w:cs="Arial"/>
          <w:color w:val="000000"/>
          <w:sz w:val="16"/>
          <w:szCs w:val="16"/>
          <w:lang w:val="en-GB" w:eastAsia="en-GB"/>
        </w:rPr>
        <w:t>ite</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Database of SDS models for chemicals - Ministry of Health and ISS (Istituto Superiore di Sanità) - Italy</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Note for users:</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The information contained in the present sheet are based on our own knowledge on the date of the last version. Users must verify </w:t>
      </w:r>
      <w:r>
        <w:rPr>
          <w:rFonts w:ascii="Arial" w:hAnsi="Arial" w:cs="Arial"/>
          <w:color w:val="000000"/>
          <w:sz w:val="16"/>
          <w:szCs w:val="16"/>
          <w:lang w:val="en-GB" w:eastAsia="en-GB"/>
        </w:rPr>
        <w:t>the suitability and thoroughness of provided information according to each specific use of the product.</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This document must not be regarded as a guarantee on any specific product property.</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use of this product is not subject to our direct control; theref</w:t>
      </w:r>
      <w:r>
        <w:rPr>
          <w:rFonts w:ascii="Arial" w:hAnsi="Arial" w:cs="Arial"/>
          <w:color w:val="000000"/>
          <w:sz w:val="16"/>
          <w:szCs w:val="16"/>
          <w:lang w:val="en-GB" w:eastAsia="en-GB"/>
        </w:rPr>
        <w:t>ore, users must, under their own responsibility, comply with the current health and safety laws and regulations. The producer is relieved from any liability arising from improper uses.</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Provide appointed staff with adequate training on how to use chemical p</w:t>
      </w:r>
      <w:r>
        <w:rPr>
          <w:rFonts w:ascii="Arial" w:hAnsi="Arial" w:cs="Arial"/>
          <w:color w:val="000000"/>
          <w:sz w:val="16"/>
          <w:szCs w:val="16"/>
          <w:lang w:val="en-GB" w:eastAsia="en-GB"/>
        </w:rPr>
        <w:t>roducts.</w:t>
      </w:r>
    </w:p>
    <w:p w:rsidR="00000000" w:rsidRDefault="00650260">
      <w:pPr>
        <w:widowControl w:val="0"/>
        <w:autoSpaceDE w:val="0"/>
        <w:autoSpaceDN w:val="0"/>
        <w:adjustRightInd w:val="0"/>
        <w:jc w:val="both"/>
        <w:rPr>
          <w:lang w:val="en-GB" w:eastAsia="en-GB"/>
        </w:rPr>
      </w:pP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Changes to previous review:</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following sections were modified:</w:t>
      </w:r>
    </w:p>
    <w:p w:rsidR="00000000" w:rsidRDefault="0065026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03 / 04 / 05 / 09 / 11.</w:t>
      </w:r>
    </w:p>
    <w:sectPr w:rsidR="00000000">
      <w:headerReference w:type="default" r:id="rId6"/>
      <w:footerReference w:type="default" r:id="rId7"/>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50260">
      <w:r>
        <w:separator/>
      </w:r>
    </w:p>
  </w:endnote>
  <w:endnote w:type="continuationSeparator" w:id="0">
    <w:p w:rsidR="00000000" w:rsidRDefault="00650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50260">
    <w:r>
      <w:rPr>
        <w:noProof/>
      </w:rPr>
      <mc:AlternateContent>
        <mc:Choice Requires="wps">
          <w:drawing>
            <wp:anchor distT="0" distB="0" distL="114300" distR="114300" simplePos="0" relativeHeight="251662336" behindDoc="0" locked="0" layoutInCell="0" allowOverlap="1">
              <wp:simplePos x="0" y="0"/>
              <wp:positionH relativeFrom="margin">
                <wp:posOffset>-8890</wp:posOffset>
              </wp:positionH>
              <wp:positionV relativeFrom="margin">
                <wp:posOffset>8655050</wp:posOffset>
              </wp:positionV>
              <wp:extent cx="69418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3EB20" id="Line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681.5pt" to="545.9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JiFAIAACg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" o:allowincell="f" strokecolor="#a9a9a9">
              <w10:wrap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50260">
      <w:r>
        <w:separator/>
      </w:r>
    </w:p>
  </w:footnote>
  <w:footnote w:type="continuationSeparator" w:id="0">
    <w:p w:rsidR="00000000" w:rsidRDefault="00650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650260">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AMEX S.R.L</w:t>
          </w:r>
        </w:p>
      </w:tc>
      <w:tc>
        <w:tcPr>
          <w:tcW w:w="2721" w:type="dxa"/>
          <w:tcBorders>
            <w:top w:val="single" w:sz="6" w:space="0" w:color="auto"/>
            <w:left w:val="single" w:sz="6" w:space="0" w:color="auto"/>
            <w:right w:val="single" w:sz="6" w:space="0" w:color="auto"/>
          </w:tcBorders>
          <w:shd w:val="clear" w:color="auto" w:fill="FFFFFF"/>
        </w:tcPr>
        <w:p w:rsidR="00000000" w:rsidRDefault="00650260">
          <w:pPr>
            <w:autoSpaceDE w:val="0"/>
            <w:autoSpaceDN w:val="0"/>
            <w:adjustRightInd w:val="0"/>
            <w:rPr>
              <w:lang w:val="en-GB" w:eastAsia="en-GB"/>
            </w:rPr>
          </w:pPr>
          <w:r>
            <w:rPr>
              <w:rFonts w:ascii="Arial" w:hAnsi="Arial" w:cs="Arial"/>
              <w:color w:val="000000"/>
              <w:sz w:val="12"/>
              <w:szCs w:val="12"/>
              <w:lang w:val="en-GB" w:eastAsia="en-GB"/>
            </w:rPr>
            <w:t>Revision nr. 2</w:t>
          </w:r>
        </w:p>
      </w:tc>
    </w:tr>
    <w:tr w:rsidR="00000000">
      <w:tblPrEx>
        <w:tblCellMar>
          <w:top w:w="0" w:type="dxa"/>
          <w:bottom w:w="0" w:type="dxa"/>
        </w:tblCellMar>
      </w:tblPrEx>
      <w:tc>
        <w:tcPr>
          <w:tcW w:w="8278" w:type="dxa"/>
          <w:tcBorders>
            <w:left w:val="single" w:sz="6" w:space="0" w:color="auto"/>
          </w:tcBorders>
          <w:shd w:val="clear" w:color="auto" w:fill="FFFFFF"/>
        </w:tcPr>
        <w:p w:rsidR="00000000" w:rsidRDefault="00650260">
          <w:pPr>
            <w:autoSpaceDE w:val="0"/>
            <w:autoSpaceDN w:val="0"/>
            <w:adjustRightInd w:val="0"/>
            <w:rPr>
              <w:lang w:val="en-GB" w:eastAsia="en-GB"/>
            </w:rPr>
          </w:pPr>
          <w:r>
            <w:rPr>
              <w:lang w:val="en-GB" w:eastAsia="en-GB"/>
            </w:rPr>
            <w:t xml:space="preserve"> </w:t>
          </w:r>
        </w:p>
      </w:tc>
      <w:tc>
        <w:tcPr>
          <w:tcW w:w="2721" w:type="dxa"/>
          <w:tcBorders>
            <w:left w:val="single" w:sz="6" w:space="0" w:color="auto"/>
            <w:right w:val="single" w:sz="6" w:space="0" w:color="auto"/>
          </w:tcBorders>
          <w:shd w:val="clear" w:color="auto" w:fill="FFFFFF"/>
        </w:tcPr>
        <w:p w:rsidR="00000000" w:rsidRDefault="00650260">
          <w:pPr>
            <w:autoSpaceDE w:val="0"/>
            <w:autoSpaceDN w:val="0"/>
            <w:adjustRightInd w:val="0"/>
            <w:rPr>
              <w:lang w:val="en-GB" w:eastAsia="en-GB"/>
            </w:rPr>
          </w:pPr>
          <w:r>
            <w:rPr>
              <w:rFonts w:ascii="Arial" w:hAnsi="Arial" w:cs="Arial"/>
              <w:color w:val="000000"/>
              <w:sz w:val="12"/>
              <w:szCs w:val="12"/>
              <w:lang w:val="en-GB" w:eastAsia="en-GB"/>
            </w:rPr>
            <w:t>Dated 30/01/2018</w:t>
          </w:r>
        </w:p>
      </w:tc>
    </w:tr>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650260">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TEXPRINT COLORANTE ROSSO 40</w:t>
          </w:r>
        </w:p>
      </w:tc>
      <w:tc>
        <w:tcPr>
          <w:tcW w:w="2721" w:type="dxa"/>
          <w:tcBorders>
            <w:left w:val="single" w:sz="6" w:space="0" w:color="auto"/>
            <w:right w:val="single" w:sz="6" w:space="0" w:color="auto"/>
          </w:tcBorders>
          <w:shd w:val="clear" w:color="auto" w:fill="FFFFFF"/>
        </w:tcPr>
        <w:p w:rsidR="00000000" w:rsidRDefault="00650260">
          <w:pPr>
            <w:autoSpaceDE w:val="0"/>
            <w:autoSpaceDN w:val="0"/>
            <w:adjustRightInd w:val="0"/>
            <w:rPr>
              <w:lang w:val="en-GB" w:eastAsia="en-GB"/>
            </w:rPr>
          </w:pPr>
          <w:r>
            <w:rPr>
              <w:rFonts w:ascii="Arial" w:hAnsi="Arial" w:cs="Arial"/>
              <w:color w:val="000000"/>
              <w:sz w:val="12"/>
              <w:szCs w:val="12"/>
              <w:lang w:val="en-GB" w:eastAsia="en-GB"/>
            </w:rPr>
            <w:t>Printed on 04/04/2018</w:t>
          </w:r>
        </w:p>
      </w:tc>
    </w:tr>
    <w:tr w:rsidR="00000000">
      <w:tblPrEx>
        <w:tblCellMar>
          <w:top w:w="0" w:type="dxa"/>
          <w:bottom w:w="0" w:type="dxa"/>
        </w:tblCellMar>
      </w:tblPrEx>
      <w:tc>
        <w:tcPr>
          <w:tcW w:w="8278" w:type="dxa"/>
          <w:tcBorders>
            <w:left w:val="single" w:sz="6" w:space="0" w:color="auto"/>
            <w:bottom w:val="single" w:sz="6" w:space="0" w:color="auto"/>
          </w:tcBorders>
          <w:shd w:val="clear" w:color="auto" w:fill="FFFFFF"/>
        </w:tcPr>
        <w:p w:rsidR="00000000" w:rsidRDefault="00650260">
          <w:pPr>
            <w:autoSpaceDE w:val="0"/>
            <w:autoSpaceDN w:val="0"/>
            <w:adjustRightInd w:val="0"/>
            <w:rPr>
              <w:lang w:val="en-GB" w:eastAsia="en-GB"/>
            </w:rPr>
          </w:pPr>
          <w:r>
            <w:rPr>
              <w:lang w:val="en-GB" w:eastAsia="en-GB"/>
            </w:rPr>
            <w:t xml:space="preserve"> </w:t>
          </w:r>
        </w:p>
      </w:tc>
      <w:tc>
        <w:tcPr>
          <w:tcW w:w="2721" w:type="dxa"/>
          <w:tcBorders>
            <w:left w:val="single" w:sz="6" w:space="0" w:color="auto"/>
            <w:bottom w:val="single" w:sz="6" w:space="0" w:color="auto"/>
            <w:right w:val="single" w:sz="6" w:space="0" w:color="auto"/>
          </w:tcBorders>
          <w:shd w:val="clear" w:color="auto" w:fill="FFFFFF"/>
        </w:tcPr>
        <w:p w:rsidR="00000000" w:rsidRDefault="00650260">
          <w:pPr>
            <w:autoSpaceDE w:val="0"/>
            <w:autoSpaceDN w:val="0"/>
            <w:adjustRightInd w:val="0"/>
            <w:rPr>
              <w:lang w:val="en-GB" w:eastAsia="en-GB"/>
            </w:rPr>
          </w:pPr>
          <w:r>
            <w:rPr>
              <w:rFonts w:ascii="Arial" w:hAnsi="Arial" w:cs="Arial"/>
              <w:color w:val="000000"/>
              <w:sz w:val="12"/>
              <w:szCs w:val="12"/>
              <w:lang w:val="en-GB" w:eastAsia="en-GB"/>
            </w:rPr>
            <w:t xml:space="preserve">Page n. </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PAGE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r>
            <w:rPr>
              <w:rFonts w:ascii="Arial" w:hAnsi="Arial" w:cs="Arial"/>
              <w:color w:val="000000"/>
              <w:sz w:val="12"/>
              <w:szCs w:val="12"/>
              <w:lang w:val="en-GB" w:eastAsia="en-GB"/>
            </w:rPr>
            <w:t>/</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NUMPAGES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p>
      </w:tc>
    </w:tr>
  </w:tbl>
  <w:p w:rsidR="00000000" w:rsidRDefault="00650260">
    <w:r>
      <w:rPr>
        <w:noProof/>
      </w:rPr>
      <mc:AlternateContent>
        <mc:Choice Requires="wps">
          <w:drawing>
            <wp:anchor distT="0" distB="0" distL="114300" distR="114300" simplePos="0" relativeHeight="251659264" behindDoc="0" locked="0" layoutInCell="0" allowOverlap="1">
              <wp:simplePos x="0" y="0"/>
              <wp:positionH relativeFrom="margin">
                <wp:posOffset>-8890</wp:posOffset>
              </wp:positionH>
              <wp:positionV relativeFrom="margin">
                <wp:posOffset>-248285</wp:posOffset>
              </wp:positionV>
              <wp:extent cx="0" cy="89033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0544E"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19.55pt" to="-.7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" o:allowincell="f" strokecolor="#a9a9a9">
              <w10:wrap anchorx="margin" anchory="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6979285</wp:posOffset>
              </wp:positionH>
              <wp:positionV relativeFrom="margin">
                <wp:posOffset>-248285</wp:posOffset>
              </wp:positionV>
              <wp:extent cx="0" cy="89033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47CA1"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49.55pt,-19.55pt" to="549.5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" o:allowincell="f" strokecolor="#a9a9a9">
              <w10:wrap anchorx="margin" anchory="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260"/>
    <w:rsid w:val="00171DD7"/>
    <w:rsid w:val="002000E3"/>
    <w:rsid w:val="002B4F1F"/>
    <w:rsid w:val="0039723C"/>
    <w:rsid w:val="00650260"/>
    <w:rsid w:val="007F2EBE"/>
    <w:rsid w:val="00884218"/>
    <w:rsid w:val="008D6CBD"/>
    <w:rsid w:val="00B36F51"/>
    <w:rsid w:val="00C164B5"/>
    <w:rsid w:val="00C17118"/>
    <w:rsid w:val="00D22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658E2FBF-B136-4EC4-854A-D585816A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9BFC61B3.dotm</Template>
  <TotalTime>0</TotalTime>
  <Pages>10</Pages>
  <Words>2680</Words>
  <Characters>15279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Hyde</dc:creator>
  <cp:keywords/>
  <dc:description>Produced by RTFGenerator. Ownership of: INFOTEC sas info@infotec-online.it</dc:description>
  <cp:lastModifiedBy>Emily Hyde</cp:lastModifiedBy>
  <cp:revision>2</cp:revision>
  <dcterms:created xsi:type="dcterms:W3CDTF">2018-04-12T12:20:00Z</dcterms:created>
  <dcterms:modified xsi:type="dcterms:W3CDTF">2018-04-12T12:20:00Z</dcterms:modified>
</cp:coreProperties>
</file>