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527AA">
      <w:pPr>
        <w:widowControl w:val="0"/>
        <w:autoSpaceDE w:val="0"/>
        <w:autoSpaceDN w:val="0"/>
        <w:adjustRightInd w:val="0"/>
        <w:rPr>
          <w:lang w:val="en-GB" w:eastAsia="en-GB"/>
        </w:rPr>
      </w:pPr>
      <w:bookmarkStart w:id="0" w:name="_GoBack"/>
      <w:bookmarkEnd w:id="0"/>
    </w:p>
    <w:p w:rsidR="00000000" w:rsidRDefault="00C527AA">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Safety Data Sheet</w:t>
      </w:r>
    </w:p>
    <w:p w:rsidR="00000000" w:rsidRDefault="00C527A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000000" w:rsidRDefault="00C527A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000000">
        <w:tblPrEx>
          <w:tblCellMar>
            <w:top w:w="0" w:type="dxa"/>
            <w:bottom w:w="0" w:type="dxa"/>
          </w:tblCellMar>
        </w:tblPrEx>
        <w:tc>
          <w:tcPr>
            <w:tcW w:w="3969"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000000" w:rsidRDefault="00C527A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AM122214 </w:t>
            </w:r>
          </w:p>
        </w:tc>
      </w:tr>
      <w:tr w:rsidR="00000000">
        <w:tblPrEx>
          <w:tblCellMar>
            <w:top w:w="0" w:type="dxa"/>
            <w:bottom w:w="0" w:type="dxa"/>
          </w:tblCellMar>
        </w:tblPrEx>
        <w:tc>
          <w:tcPr>
            <w:tcW w:w="3969"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000000" w:rsidRDefault="00C527A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PLAST FIBER BOND PHTALATE FREE </w:t>
            </w:r>
          </w:p>
        </w:tc>
      </w:tr>
      <w:tr w:rsidR="00000000">
        <w:tblPrEx>
          <w:tblCellMar>
            <w:top w:w="0" w:type="dxa"/>
            <w:bottom w:w="0" w:type="dxa"/>
          </w:tblCellMar>
        </w:tblPrEx>
        <w:tc>
          <w:tcPr>
            <w:tcW w:w="3969" w:type="dxa"/>
            <w:shd w:val="clear" w:color="auto" w:fill="FFFFFF"/>
          </w:tcPr>
          <w:p w:rsidR="00000000" w:rsidRDefault="00C527A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C527AA">
            <w:pPr>
              <w:widowControl w:val="0"/>
              <w:autoSpaceDE w:val="0"/>
              <w:autoSpaceDN w:val="0"/>
              <w:adjustRightInd w:val="0"/>
              <w:jc w:val="center"/>
              <w:rPr>
                <w:lang w:val="en-GB" w:eastAsia="en-GB"/>
              </w:rPr>
            </w:pPr>
          </w:p>
        </w:tc>
      </w:tr>
    </w:tbl>
    <w:p w:rsidR="00000000" w:rsidRDefault="00C527A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000000" w:rsidRDefault="00C527AA">
            <w:pPr>
              <w:widowControl w:val="0"/>
              <w:autoSpaceDE w:val="0"/>
              <w:autoSpaceDN w:val="0"/>
              <w:adjustRightInd w:val="0"/>
              <w:rPr>
                <w:lang w:val="en-GB" w:eastAsia="en-GB"/>
              </w:rPr>
            </w:pPr>
            <w:r>
              <w:rPr>
                <w:rFonts w:ascii="Arial" w:hAnsi="Arial" w:cs="Arial"/>
                <w:b/>
                <w:bCs/>
                <w:color w:val="000000"/>
                <w:sz w:val="16"/>
                <w:szCs w:val="16"/>
                <w:lang w:val="en-GB" w:eastAsia="en-GB"/>
              </w:rPr>
              <w:t>ausiliario per stampa serigrafica</w:t>
            </w:r>
          </w:p>
        </w:tc>
      </w:tr>
    </w:tbl>
    <w:p w:rsidR="00000000" w:rsidRDefault="00C527AA">
      <w:pPr>
        <w:widowControl w:val="0"/>
        <w:autoSpaceDE w:val="0"/>
        <w:autoSpaceDN w:val="0"/>
        <w:adjustRightInd w:val="0"/>
        <w:jc w:val="center"/>
        <w:rPr>
          <w:lang w:val="en-GB" w:eastAsia="en-GB"/>
        </w:rPr>
      </w:pPr>
    </w:p>
    <w:p w:rsidR="00000000" w:rsidRDefault="00C527A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000000" w:rsidRDefault="00C527A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000000">
        <w:tblPrEx>
          <w:tblCellMar>
            <w:top w:w="0" w:type="dxa"/>
            <w:bottom w:w="0" w:type="dxa"/>
          </w:tblCellMar>
        </w:tblPrEx>
        <w:tc>
          <w:tcPr>
            <w:tcW w:w="3969"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000000" w:rsidRDefault="00C527A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000000">
        <w:tblPrEx>
          <w:tblCellMar>
            <w:top w:w="0" w:type="dxa"/>
            <w:bottom w:w="0" w:type="dxa"/>
          </w:tblCellMar>
        </w:tblPrEx>
        <w:tc>
          <w:tcPr>
            <w:tcW w:w="3969"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000000" w:rsidRDefault="00C527A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000000">
        <w:tblPrEx>
          <w:tblCellMar>
            <w:top w:w="0" w:type="dxa"/>
            <w:bottom w:w="0" w:type="dxa"/>
          </w:tblCellMar>
        </w:tblPrEx>
        <w:tc>
          <w:tcPr>
            <w:tcW w:w="3969" w:type="dxa"/>
            <w:shd w:val="clear" w:color="auto" w:fill="FFFFFF"/>
          </w:tcPr>
          <w:p w:rsidR="00000000" w:rsidRDefault="00C527A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C527A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000000">
        <w:tblPrEx>
          <w:tblCellMar>
            <w:top w:w="0" w:type="dxa"/>
            <w:bottom w:w="0" w:type="dxa"/>
          </w:tblCellMar>
        </w:tblPrEx>
        <w:tc>
          <w:tcPr>
            <w:tcW w:w="3969" w:type="dxa"/>
            <w:shd w:val="clear" w:color="auto" w:fill="FFFFFF"/>
          </w:tcPr>
          <w:p w:rsidR="00000000" w:rsidRDefault="00C527A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C527A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000000">
        <w:tblPrEx>
          <w:tblCellMar>
            <w:top w:w="0" w:type="dxa"/>
            <w:bottom w:w="0" w:type="dxa"/>
          </w:tblCellMar>
        </w:tblPrEx>
        <w:tc>
          <w:tcPr>
            <w:tcW w:w="3969" w:type="dxa"/>
            <w:shd w:val="clear" w:color="auto" w:fill="FFFFFF"/>
          </w:tcPr>
          <w:p w:rsidR="00000000" w:rsidRDefault="00C527A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C527A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000000">
        <w:tblPrEx>
          <w:tblCellMar>
            <w:top w:w="0" w:type="dxa"/>
            <w:bottom w:w="0" w:type="dxa"/>
          </w:tblCellMar>
        </w:tblPrEx>
        <w:tc>
          <w:tcPr>
            <w:tcW w:w="3969"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3969"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000000" w:rsidRDefault="00C527A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000000">
        <w:tblPrEx>
          <w:tblCellMar>
            <w:top w:w="0" w:type="dxa"/>
            <w:bottom w:w="0" w:type="dxa"/>
          </w:tblCellMar>
        </w:tblPrEx>
        <w:tc>
          <w:tcPr>
            <w:tcW w:w="3969" w:type="dxa"/>
            <w:shd w:val="clear" w:color="auto" w:fill="FFFFFF"/>
          </w:tcPr>
          <w:p w:rsidR="00000000" w:rsidRDefault="00C527A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C527AA">
            <w:pPr>
              <w:widowControl w:val="0"/>
              <w:autoSpaceDE w:val="0"/>
              <w:autoSpaceDN w:val="0"/>
              <w:adjustRightInd w:val="0"/>
              <w:jc w:val="center"/>
              <w:rPr>
                <w:lang w:val="en-GB" w:eastAsia="en-GB"/>
              </w:rPr>
            </w:pPr>
          </w:p>
        </w:tc>
      </w:tr>
    </w:tbl>
    <w:p w:rsidR="00000000" w:rsidRDefault="00C527A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000000">
        <w:tblPrEx>
          <w:tblCellMar>
            <w:top w:w="0" w:type="dxa"/>
            <w:bottom w:w="0" w:type="dxa"/>
          </w:tblCellMar>
        </w:tblPrEx>
        <w:tc>
          <w:tcPr>
            <w:tcW w:w="3969"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000000" w:rsidRDefault="00C527A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000000" w:rsidRDefault="00C527A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000000" w:rsidRDefault="00C527AA">
      <w:pPr>
        <w:widowControl w:val="0"/>
        <w:autoSpaceDE w:val="0"/>
        <w:autoSpaceDN w:val="0"/>
        <w:adjustRightInd w:val="0"/>
        <w:jc w:val="center"/>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classified as hazardous pursuant to the provisions set forth in (EC) Regulation 1272/2008 (CLP) (and subsequent amendments and supplements). The product thu</w:t>
      </w:r>
      <w:r>
        <w:rPr>
          <w:rFonts w:ascii="Arial" w:hAnsi="Arial" w:cs="Arial"/>
          <w:color w:val="000000"/>
          <w:sz w:val="16"/>
          <w:szCs w:val="16"/>
          <w:lang w:val="en-GB" w:eastAsia="en-GB"/>
        </w:rPr>
        <w:t>s requires a safety datasheet that complies with the provisions of (EU) Regulation 2015/830.</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additional information concerning the risks for health and/or the environment are given in sections 11 and 12 of this sheet.</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classification and indicat</w:t>
      </w:r>
      <w:r>
        <w:rPr>
          <w:rFonts w:ascii="Arial" w:hAnsi="Arial" w:cs="Arial"/>
          <w:color w:val="000000"/>
          <w:sz w:val="16"/>
          <w:szCs w:val="16"/>
          <w:lang w:val="en-GB" w:eastAsia="en-GB"/>
        </w:rPr>
        <w:t>ion:</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000000">
        <w:tblPrEx>
          <w:tblCellMar>
            <w:top w:w="0" w:type="dxa"/>
            <w:bottom w:w="0" w:type="dxa"/>
          </w:tblCellMar>
        </w:tblPrEx>
        <w:tc>
          <w:tcPr>
            <w:tcW w:w="4536"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Acute toxicity, category 3</w:t>
            </w:r>
          </w:p>
        </w:tc>
        <w:tc>
          <w:tcPr>
            <w:tcW w:w="1701"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H331</w:t>
            </w:r>
          </w:p>
        </w:tc>
        <w:tc>
          <w:tcPr>
            <w:tcW w:w="4536"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Toxic if inhaled.</w:t>
            </w:r>
          </w:p>
        </w:tc>
      </w:tr>
      <w:tr w:rsidR="00000000">
        <w:tblPrEx>
          <w:tblCellMar>
            <w:top w:w="0" w:type="dxa"/>
            <w:bottom w:w="0" w:type="dxa"/>
          </w:tblCellMar>
        </w:tblPrEx>
        <w:tc>
          <w:tcPr>
            <w:tcW w:w="4536"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Eye irritation, category 2</w:t>
            </w:r>
          </w:p>
        </w:tc>
        <w:tc>
          <w:tcPr>
            <w:tcW w:w="1701"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H319</w:t>
            </w:r>
          </w:p>
        </w:tc>
        <w:tc>
          <w:tcPr>
            <w:tcW w:w="4536"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Causes serious eye irritation.</w:t>
            </w:r>
          </w:p>
        </w:tc>
      </w:tr>
      <w:tr w:rsidR="00000000">
        <w:tblPrEx>
          <w:tblCellMar>
            <w:top w:w="0" w:type="dxa"/>
            <w:bottom w:w="0" w:type="dxa"/>
          </w:tblCellMar>
        </w:tblPrEx>
        <w:tc>
          <w:tcPr>
            <w:tcW w:w="4536"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Respiratory sensitization, category 1</w:t>
            </w:r>
          </w:p>
        </w:tc>
        <w:tc>
          <w:tcPr>
            <w:tcW w:w="1701"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H334</w:t>
            </w:r>
          </w:p>
        </w:tc>
        <w:tc>
          <w:tcPr>
            <w:tcW w:w="4536"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May cause allergy or asthma symptoms or breathing difficulties if inhaled.</w:t>
            </w:r>
          </w:p>
        </w:tc>
      </w:tr>
      <w:tr w:rsidR="00000000">
        <w:tblPrEx>
          <w:tblCellMar>
            <w:top w:w="0" w:type="dxa"/>
            <w:bottom w:w="0" w:type="dxa"/>
          </w:tblCellMar>
        </w:tblPrEx>
        <w:tc>
          <w:tcPr>
            <w:tcW w:w="4536"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Skin sensitization, category 1</w:t>
            </w:r>
          </w:p>
        </w:tc>
        <w:tc>
          <w:tcPr>
            <w:tcW w:w="1701"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H317</w:t>
            </w:r>
          </w:p>
        </w:tc>
        <w:tc>
          <w:tcPr>
            <w:tcW w:w="4536"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May cause an allergic skin reaction.</w:t>
            </w:r>
          </w:p>
        </w:tc>
      </w:tr>
      <w:tr w:rsidR="00000000">
        <w:tblPrEx>
          <w:tblCellMar>
            <w:top w:w="0" w:type="dxa"/>
            <w:bottom w:w="0" w:type="dxa"/>
          </w:tblCellMar>
        </w:tblPrEx>
        <w:tc>
          <w:tcPr>
            <w:tcW w:w="4536" w:type="dxa"/>
            <w:shd w:val="clear" w:color="auto" w:fill="FFFFFF"/>
          </w:tcPr>
          <w:p w:rsidR="00000000" w:rsidRDefault="00C527AA">
            <w:pPr>
              <w:widowControl w:val="0"/>
              <w:autoSpaceDE w:val="0"/>
              <w:autoSpaceDN w:val="0"/>
              <w:adjustRightInd w:val="0"/>
              <w:jc w:val="both"/>
              <w:rPr>
                <w:lang w:val="en-GB" w:eastAsia="en-GB"/>
              </w:rPr>
            </w:pPr>
            <w:r>
              <w:rPr>
                <w:lang w:val="en-GB" w:eastAsia="en-GB"/>
              </w:rPr>
              <w:t xml:space="preserve"> </w:t>
            </w:r>
          </w:p>
        </w:tc>
        <w:tc>
          <w:tcPr>
            <w:tcW w:w="1701" w:type="dxa"/>
            <w:shd w:val="clear" w:color="auto" w:fill="FFFFFF"/>
          </w:tcPr>
          <w:p w:rsidR="00000000" w:rsidRDefault="00C527AA">
            <w:pPr>
              <w:widowControl w:val="0"/>
              <w:autoSpaceDE w:val="0"/>
              <w:autoSpaceDN w:val="0"/>
              <w:adjustRightInd w:val="0"/>
              <w:jc w:val="both"/>
              <w:rPr>
                <w:lang w:val="en-GB" w:eastAsia="en-GB"/>
              </w:rPr>
            </w:pPr>
          </w:p>
        </w:tc>
        <w:tc>
          <w:tcPr>
            <w:tcW w:w="4536" w:type="dxa"/>
            <w:shd w:val="clear" w:color="auto" w:fill="FFFFFF"/>
          </w:tcPr>
          <w:p w:rsidR="00000000" w:rsidRDefault="00C527AA">
            <w:pPr>
              <w:widowControl w:val="0"/>
              <w:autoSpaceDE w:val="0"/>
              <w:autoSpaceDN w:val="0"/>
              <w:adjustRightInd w:val="0"/>
              <w:jc w:val="both"/>
              <w:rPr>
                <w:lang w:val="en-GB" w:eastAsia="en-GB"/>
              </w:rPr>
            </w:pP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labelling pursuant to EC Regulation 1272/2008 (CLP) and subsequent amendments and supplements.</w:t>
      </w: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000000">
        <w:tblPrEx>
          <w:tblCellMar>
            <w:top w:w="0" w:type="dxa"/>
            <w:bottom w:w="0" w:type="dxa"/>
          </w:tblCellMar>
        </w:tblPrEx>
        <w:tc>
          <w:tcPr>
            <w:tcW w:w="1984" w:type="dxa"/>
            <w:gridSpan w:val="2"/>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gridSpan w:val="7"/>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rPr>
          <w:gridAfter w:val="1"/>
          <w:wAfter w:w="853" w:type="dxa"/>
        </w:trPr>
        <w:tc>
          <w:tcPr>
            <w:tcW w:w="1417" w:type="dxa"/>
            <w:shd w:val="clear" w:color="auto" w:fill="FFFFFF"/>
          </w:tcPr>
          <w:p w:rsidR="00000000" w:rsidRDefault="00C527AA">
            <w:pPr>
              <w:widowControl w:val="0"/>
              <w:autoSpaceDE w:val="0"/>
              <w:autoSpaceDN w:val="0"/>
              <w:adjustRightInd w:val="0"/>
              <w:jc w:val="both"/>
              <w:rPr>
                <w:lang w:val="en-GB" w:eastAsia="en-GB"/>
              </w:rPr>
            </w:pPr>
            <w:r>
              <w:rPr>
                <w:lang w:val="en-GB" w:eastAsia="en-GB"/>
              </w:rPr>
              <w:t xml:space="preserve"> </w:t>
            </w:r>
            <w:r>
              <w:rPr>
                <w:noProof/>
                <w:lang w:val="en-GB" w:eastAsia="en-GB"/>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margin">
                        <wp:posOffset>0</wp:posOffset>
                      </wp:positionV>
                      <wp:extent cx="0" cy="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306A3" id="Rectangle 5" o:spid="_x0000_s1026" style="position:absolute;margin-left:0;margin-top:0;width:0;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tXP2ahQCAAAx&#10;BAAADgAAAAAAAAAAAAAAAAAuAgAAZHJzL2Uyb0RvYy54bWxQSwECLQAUAAYACAAAACEAM1RZsdUA&#10;AAD/AAAADwAAAAAAAAAAAAAAAABuBAAAZHJzL2Rvd25yZXYueG1sUEsFBgAAAAAEAAQA8wAAAHAF&#10;AAAAAA==&#10;" o:allowincell="f">
                      <w10:wrap anchorx="margin" anchory="margin"/>
                    </v:rect>
                  </w:pict>
                </mc:Fallback>
              </mc:AlternateContent>
            </w:r>
            <w:r>
              <w:rPr>
                <w:noProof/>
                <w:lang w:val="en-GB" w:eastAsia="en-GB"/>
              </w:rPr>
              <w:drawing>
                <wp:inline distT="0" distB="0" distL="0" distR="0">
                  <wp:extent cx="647700" cy="6477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417" w:type="dxa"/>
            <w:gridSpan w:val="2"/>
            <w:shd w:val="clear" w:color="auto" w:fill="FFFFFF"/>
          </w:tcPr>
          <w:p w:rsidR="00000000" w:rsidRDefault="00C527AA">
            <w:pPr>
              <w:widowControl w:val="0"/>
              <w:autoSpaceDE w:val="0"/>
              <w:autoSpaceDN w:val="0"/>
              <w:adjustRightInd w:val="0"/>
              <w:jc w:val="both"/>
              <w:rPr>
                <w:lang w:val="en-GB" w:eastAsia="en-GB"/>
              </w:rPr>
            </w:pPr>
            <w:r>
              <w:rPr>
                <w:noProof/>
                <w:lang w:val="en-GB" w:eastAsia="en-GB"/>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margin">
                        <wp:posOffset>0</wp:posOffset>
                      </wp:positionV>
                      <wp:extent cx="0" cy="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E43AD" id="Rectangle 6" o:spid="_x0000_s1026" style="position:absolute;margin-left:0;margin-top:0;width:0;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Aa3vRRQCAAAx&#10;BAAADgAAAAAAAAAAAAAAAAAuAgAAZHJzL2Uyb0RvYy54bWxQSwECLQAUAAYACAAAACEAM1RZsdUA&#10;AAD/AAAADwAAAAAAAAAAAAAAAABuBAAAZHJzL2Rvd25yZXYueG1sUEsFBgAAAAAEAAQA8wAAAHAF&#10;AAAAAA==&#10;" o:allowincell="f">
                      <w10:wrap anchorx="margin" anchory="margin"/>
                    </v:rect>
                  </w:pict>
                </mc:Fallback>
              </mc:AlternateContent>
            </w:r>
            <w:r>
              <w:rPr>
                <w:noProof/>
                <w:lang w:val="en-GB" w:eastAsia="en-GB"/>
              </w:rPr>
              <w:drawing>
                <wp:inline distT="0" distB="0" distL="0" distR="0">
                  <wp:extent cx="647700" cy="6477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417" w:type="dxa"/>
            <w:shd w:val="clear" w:color="auto" w:fill="FFFFFF"/>
          </w:tcPr>
          <w:p w:rsidR="00000000" w:rsidRDefault="00C527AA">
            <w:pPr>
              <w:widowControl w:val="0"/>
              <w:autoSpaceDE w:val="0"/>
              <w:autoSpaceDN w:val="0"/>
              <w:adjustRightInd w:val="0"/>
              <w:jc w:val="both"/>
              <w:rPr>
                <w:lang w:val="en-GB" w:eastAsia="en-GB"/>
              </w:rPr>
            </w:pPr>
          </w:p>
        </w:tc>
        <w:tc>
          <w:tcPr>
            <w:tcW w:w="1417" w:type="dxa"/>
            <w:shd w:val="clear" w:color="auto" w:fill="FFFFFF"/>
          </w:tcPr>
          <w:p w:rsidR="00000000" w:rsidRDefault="00C527AA">
            <w:pPr>
              <w:widowControl w:val="0"/>
              <w:autoSpaceDE w:val="0"/>
              <w:autoSpaceDN w:val="0"/>
              <w:adjustRightInd w:val="0"/>
              <w:jc w:val="both"/>
              <w:rPr>
                <w:lang w:val="en-GB" w:eastAsia="en-GB"/>
              </w:rPr>
            </w:pPr>
          </w:p>
        </w:tc>
        <w:tc>
          <w:tcPr>
            <w:tcW w:w="1417" w:type="dxa"/>
            <w:shd w:val="clear" w:color="auto" w:fill="FFFFFF"/>
          </w:tcPr>
          <w:p w:rsidR="00000000" w:rsidRDefault="00C527AA">
            <w:pPr>
              <w:widowControl w:val="0"/>
              <w:autoSpaceDE w:val="0"/>
              <w:autoSpaceDN w:val="0"/>
              <w:adjustRightInd w:val="0"/>
              <w:jc w:val="both"/>
              <w:rPr>
                <w:lang w:val="en-GB" w:eastAsia="en-GB"/>
              </w:rPr>
            </w:pPr>
          </w:p>
        </w:tc>
        <w:tc>
          <w:tcPr>
            <w:tcW w:w="1417" w:type="dxa"/>
            <w:shd w:val="clear" w:color="auto" w:fill="FFFFFF"/>
          </w:tcPr>
          <w:p w:rsidR="00000000" w:rsidRDefault="00C527AA">
            <w:pPr>
              <w:widowControl w:val="0"/>
              <w:autoSpaceDE w:val="0"/>
              <w:autoSpaceDN w:val="0"/>
              <w:adjustRightInd w:val="0"/>
              <w:jc w:val="both"/>
              <w:rPr>
                <w:lang w:val="en-GB" w:eastAsia="en-GB"/>
              </w:rPr>
            </w:pPr>
          </w:p>
        </w:tc>
        <w:tc>
          <w:tcPr>
            <w:tcW w:w="1417" w:type="dxa"/>
            <w:shd w:val="clear" w:color="auto" w:fill="FFFFFF"/>
          </w:tcPr>
          <w:p w:rsidR="00000000" w:rsidRDefault="00C527AA">
            <w:pPr>
              <w:widowControl w:val="0"/>
              <w:autoSpaceDE w:val="0"/>
              <w:autoSpaceDN w:val="0"/>
              <w:adjustRightInd w:val="0"/>
              <w:jc w:val="both"/>
              <w:rPr>
                <w:lang w:val="en-GB" w:eastAsia="en-GB"/>
              </w:rPr>
            </w:pPr>
          </w:p>
        </w:tc>
      </w:tr>
    </w:tbl>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Danger</w:t>
            </w: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H331</w:t>
            </w:r>
          </w:p>
        </w:tc>
        <w:tc>
          <w:tcPr>
            <w:tcW w:w="8788"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Toxic if inhaled.</w:t>
            </w: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H319</w:t>
            </w:r>
          </w:p>
        </w:tc>
        <w:tc>
          <w:tcPr>
            <w:tcW w:w="8788"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Causes serious eye irritation.</w:t>
            </w: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H334</w:t>
            </w:r>
          </w:p>
        </w:tc>
        <w:tc>
          <w:tcPr>
            <w:tcW w:w="8788"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May cause allergy or asthma symptoms or breathing difficulties if inhaled.</w:t>
            </w: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H317</w:t>
            </w:r>
          </w:p>
        </w:tc>
        <w:tc>
          <w:tcPr>
            <w:tcW w:w="8788"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May cause an allergic skin reaction.</w:t>
            </w: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EUH204</w:t>
            </w:r>
          </w:p>
        </w:tc>
        <w:tc>
          <w:tcPr>
            <w:tcW w:w="8788"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Contains isocyanates. May produce an allergic reaction.</w:t>
            </w: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EUH208</w:t>
            </w:r>
          </w:p>
        </w:tc>
        <w:tc>
          <w:tcPr>
            <w:tcW w:w="8788"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Contains:</w:t>
            </w:r>
          </w:p>
        </w:tc>
      </w:tr>
    </w:tbl>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M-TOLYLIDENE DIISOCYANATE</w:t>
      </w: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May produce an allergic reaction.</w:t>
            </w: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P261</w:t>
            </w:r>
          </w:p>
        </w:tc>
        <w:tc>
          <w:tcPr>
            <w:tcW w:w="8788"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Avoid breathing dust / fume / gas / mist / vapours / spray.</w:t>
            </w: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P280</w:t>
            </w:r>
          </w:p>
        </w:tc>
        <w:tc>
          <w:tcPr>
            <w:tcW w:w="8788"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Wear protective gloves / eye protection / face protection.</w:t>
            </w: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P304+P340</w:t>
            </w:r>
          </w:p>
        </w:tc>
        <w:tc>
          <w:tcPr>
            <w:tcW w:w="8788"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IF INHALED: remove person to fresh air and keep comfortable for breathing.</w:t>
            </w: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P311</w:t>
            </w:r>
          </w:p>
        </w:tc>
        <w:tc>
          <w:tcPr>
            <w:tcW w:w="8788"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Call a POISON CENTER / doctor / . . .</w:t>
            </w: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P403+P233</w:t>
            </w:r>
          </w:p>
        </w:tc>
        <w:tc>
          <w:tcPr>
            <w:tcW w:w="8788"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Store in a well-ventilated place. Keep container tightly closed.</w:t>
            </w: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C527AA">
            <w:pPr>
              <w:widowControl w:val="0"/>
              <w:autoSpaceDE w:val="0"/>
              <w:autoSpaceDN w:val="0"/>
              <w:adjustRightInd w:val="0"/>
              <w:jc w:val="both"/>
              <w:rPr>
                <w:lang w:val="en-GB" w:eastAsia="en-GB"/>
              </w:rPr>
            </w:pP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Contains:</w:t>
            </w:r>
          </w:p>
        </w:tc>
        <w:tc>
          <w:tcPr>
            <w:tcW w:w="8788"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M-TOLYLIDENE DIISOCYANATE</w:t>
            </w: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BENZENE,1,3-DIISOCYANATO-2-METHYL-,POLYMER WITH 2,4-DIISOCYANATO-1-METHYLBENZENE</w:t>
            </w: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2.3. Other hazards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Contains:</w:t>
      </w: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000000">
        <w:tblPrEx>
          <w:tblCellMar>
            <w:top w:w="0" w:type="dxa"/>
            <w:bottom w:w="0" w:type="dxa"/>
          </w:tblCellMar>
        </w:tblPrEx>
        <w:tc>
          <w:tcPr>
            <w:tcW w:w="2835"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Identification</w:t>
            </w:r>
          </w:p>
        </w:tc>
        <w:tc>
          <w:tcPr>
            <w:tcW w:w="1417" w:type="dxa"/>
            <w:shd w:val="clear" w:color="auto" w:fill="FFFFFF"/>
          </w:tcPr>
          <w:p w:rsidR="00000000" w:rsidRDefault="00C527AA">
            <w:pPr>
              <w:widowControl w:val="0"/>
              <w:autoSpaceDE w:val="0"/>
              <w:autoSpaceDN w:val="0"/>
              <w:adjustRightInd w:val="0"/>
              <w:rPr>
                <w:lang w:val="en-GB" w:eastAsia="en-GB"/>
              </w:rPr>
            </w:pPr>
            <w:r>
              <w:rPr>
                <w:rFonts w:ascii="Arial" w:hAnsi="Arial" w:cs="Arial"/>
                <w:b/>
                <w:bCs/>
                <w:color w:val="000000"/>
                <w:sz w:val="16"/>
                <w:szCs w:val="16"/>
                <w:lang w:val="en-GB" w:eastAsia="en-GB"/>
              </w:rPr>
              <w:t>x = Conc. %</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b/>
                <w:bCs/>
                <w:color w:val="000000"/>
                <w:sz w:val="16"/>
                <w:szCs w:val="16"/>
                <w:lang w:val="en-GB" w:eastAsia="en-GB"/>
              </w:rPr>
              <w:t>Classification 1272/2008 (CLP)</w:t>
            </w:r>
          </w:p>
        </w:tc>
        <w:tc>
          <w:tcPr>
            <w:tcW w:w="567"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BENZENE,1,3-DIISOCYANATO-2-METHYL-,POLYMER WITH 2,4-DIISOCYANATO-1-METHYLBENZENE</w:t>
            </w:r>
          </w:p>
        </w:tc>
        <w:tc>
          <w:tcPr>
            <w:tcW w:w="1417" w:type="dxa"/>
            <w:shd w:val="clear" w:color="auto" w:fill="FFFFFF"/>
          </w:tcPr>
          <w:p w:rsidR="00000000" w:rsidRDefault="00C527AA">
            <w:pPr>
              <w:widowControl w:val="0"/>
              <w:autoSpaceDE w:val="0"/>
              <w:autoSpaceDN w:val="0"/>
              <w:adjustRightInd w:val="0"/>
              <w:rPr>
                <w:lang w:val="en-GB" w:eastAsia="en-GB"/>
              </w:rPr>
            </w:pPr>
          </w:p>
        </w:tc>
        <w:tc>
          <w:tcPr>
            <w:tcW w:w="5670" w:type="dxa"/>
            <w:shd w:val="clear" w:color="auto" w:fill="FFFFFF"/>
          </w:tcPr>
          <w:p w:rsidR="00000000" w:rsidRDefault="00C527AA">
            <w:pPr>
              <w:widowControl w:val="0"/>
              <w:autoSpaceDE w:val="0"/>
              <w:autoSpaceDN w:val="0"/>
              <w:adjustRightInd w:val="0"/>
              <w:rPr>
                <w:lang w:val="en-GB" w:eastAsia="en-GB"/>
              </w:rPr>
            </w:pPr>
          </w:p>
        </w:tc>
        <w:tc>
          <w:tcPr>
            <w:tcW w:w="567"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31370-61-3</w:t>
            </w:r>
          </w:p>
        </w:tc>
        <w:tc>
          <w:tcPr>
            <w:tcW w:w="1417"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 xml:space="preserve">19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29</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Eye Irrit. 2 H319, Skin Sens. 1 H317</w:t>
            </w:r>
          </w:p>
        </w:tc>
        <w:tc>
          <w:tcPr>
            <w:tcW w:w="567"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w:t>
            </w:r>
          </w:p>
        </w:tc>
        <w:tc>
          <w:tcPr>
            <w:tcW w:w="1417" w:type="dxa"/>
            <w:shd w:val="clear" w:color="auto" w:fill="FFFFFF"/>
          </w:tcPr>
          <w:p w:rsidR="00000000" w:rsidRDefault="00C527AA">
            <w:pPr>
              <w:widowControl w:val="0"/>
              <w:autoSpaceDE w:val="0"/>
              <w:autoSpaceDN w:val="0"/>
              <w:adjustRightInd w:val="0"/>
              <w:rPr>
                <w:lang w:val="en-GB" w:eastAsia="en-GB"/>
              </w:rPr>
            </w:pPr>
          </w:p>
        </w:tc>
        <w:tc>
          <w:tcPr>
            <w:tcW w:w="5670" w:type="dxa"/>
            <w:shd w:val="clear" w:color="auto" w:fill="FFFFFF"/>
          </w:tcPr>
          <w:p w:rsidR="00000000" w:rsidRDefault="00C527AA">
            <w:pPr>
              <w:widowControl w:val="0"/>
              <w:autoSpaceDE w:val="0"/>
              <w:autoSpaceDN w:val="0"/>
              <w:adjustRightInd w:val="0"/>
              <w:rPr>
                <w:lang w:val="en-GB" w:eastAsia="en-GB"/>
              </w:rPr>
            </w:pPr>
          </w:p>
        </w:tc>
        <w:tc>
          <w:tcPr>
            <w:tcW w:w="567"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w:t>
            </w:r>
          </w:p>
        </w:tc>
        <w:tc>
          <w:tcPr>
            <w:tcW w:w="1417" w:type="dxa"/>
            <w:shd w:val="clear" w:color="auto" w:fill="FFFFFF"/>
          </w:tcPr>
          <w:p w:rsidR="00000000" w:rsidRDefault="00C527AA">
            <w:pPr>
              <w:widowControl w:val="0"/>
              <w:autoSpaceDE w:val="0"/>
              <w:autoSpaceDN w:val="0"/>
              <w:adjustRightInd w:val="0"/>
              <w:rPr>
                <w:lang w:val="en-GB" w:eastAsia="en-GB"/>
              </w:rPr>
            </w:pPr>
          </w:p>
        </w:tc>
        <w:tc>
          <w:tcPr>
            <w:tcW w:w="5670" w:type="dxa"/>
            <w:shd w:val="clear" w:color="auto" w:fill="FFFFFF"/>
          </w:tcPr>
          <w:p w:rsidR="00000000" w:rsidRDefault="00C527AA">
            <w:pPr>
              <w:widowControl w:val="0"/>
              <w:autoSpaceDE w:val="0"/>
              <w:autoSpaceDN w:val="0"/>
              <w:adjustRightInd w:val="0"/>
              <w:rPr>
                <w:lang w:val="en-GB" w:eastAsia="en-GB"/>
              </w:rPr>
            </w:pPr>
          </w:p>
        </w:tc>
        <w:tc>
          <w:tcPr>
            <w:tcW w:w="567"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M-TOLYLIDENE DIISOCYANATE</w:t>
            </w:r>
          </w:p>
        </w:tc>
        <w:tc>
          <w:tcPr>
            <w:tcW w:w="1417" w:type="dxa"/>
            <w:shd w:val="clear" w:color="auto" w:fill="FFFFFF"/>
          </w:tcPr>
          <w:p w:rsidR="00000000" w:rsidRDefault="00C527AA">
            <w:pPr>
              <w:widowControl w:val="0"/>
              <w:autoSpaceDE w:val="0"/>
              <w:autoSpaceDN w:val="0"/>
              <w:adjustRightInd w:val="0"/>
              <w:rPr>
                <w:lang w:val="en-GB" w:eastAsia="en-GB"/>
              </w:rPr>
            </w:pPr>
          </w:p>
        </w:tc>
        <w:tc>
          <w:tcPr>
            <w:tcW w:w="5670" w:type="dxa"/>
            <w:shd w:val="clear" w:color="auto" w:fill="FFFFFF"/>
          </w:tcPr>
          <w:p w:rsidR="00000000" w:rsidRDefault="00C527AA">
            <w:pPr>
              <w:widowControl w:val="0"/>
              <w:autoSpaceDE w:val="0"/>
              <w:autoSpaceDN w:val="0"/>
              <w:adjustRightInd w:val="0"/>
              <w:rPr>
                <w:lang w:val="en-GB" w:eastAsia="en-GB"/>
              </w:rPr>
            </w:pPr>
          </w:p>
        </w:tc>
        <w:tc>
          <w:tcPr>
            <w:tcW w:w="567"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26471-62-5</w:t>
            </w:r>
          </w:p>
        </w:tc>
        <w:tc>
          <w:tcPr>
            <w:tcW w:w="1417"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 xml:space="preserve">0,5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0,6</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Carc. 2 H351, Acute Tox. 1 H330, Eye Irrit. 2 H319, Skin Irrit. 2 H315, STOT SE 3 H335, Resp. Sens. 1 H334, Skin Sens. 1 H317, Aquatic Chronic 3 H412</w:t>
            </w:r>
          </w:p>
        </w:tc>
        <w:tc>
          <w:tcPr>
            <w:tcW w:w="567"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247-722-4</w:t>
            </w:r>
          </w:p>
        </w:tc>
        <w:tc>
          <w:tcPr>
            <w:tcW w:w="1417" w:type="dxa"/>
            <w:shd w:val="clear" w:color="auto" w:fill="FFFFFF"/>
          </w:tcPr>
          <w:p w:rsidR="00000000" w:rsidRDefault="00C527AA">
            <w:pPr>
              <w:widowControl w:val="0"/>
              <w:autoSpaceDE w:val="0"/>
              <w:autoSpaceDN w:val="0"/>
              <w:adjustRightInd w:val="0"/>
              <w:rPr>
                <w:lang w:val="en-GB" w:eastAsia="en-GB"/>
              </w:rPr>
            </w:pPr>
          </w:p>
        </w:tc>
        <w:tc>
          <w:tcPr>
            <w:tcW w:w="5670" w:type="dxa"/>
            <w:shd w:val="clear" w:color="auto" w:fill="FFFFFF"/>
          </w:tcPr>
          <w:p w:rsidR="00000000" w:rsidRDefault="00C527AA">
            <w:pPr>
              <w:widowControl w:val="0"/>
              <w:autoSpaceDE w:val="0"/>
              <w:autoSpaceDN w:val="0"/>
              <w:adjustRightInd w:val="0"/>
              <w:rPr>
                <w:lang w:val="en-GB" w:eastAsia="en-GB"/>
              </w:rPr>
            </w:pPr>
          </w:p>
        </w:tc>
        <w:tc>
          <w:tcPr>
            <w:tcW w:w="567"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615-006-00-4</w:t>
            </w:r>
          </w:p>
        </w:tc>
        <w:tc>
          <w:tcPr>
            <w:tcW w:w="1417" w:type="dxa"/>
            <w:shd w:val="clear" w:color="auto" w:fill="FFFFFF"/>
          </w:tcPr>
          <w:p w:rsidR="00000000" w:rsidRDefault="00C527AA">
            <w:pPr>
              <w:widowControl w:val="0"/>
              <w:autoSpaceDE w:val="0"/>
              <w:autoSpaceDN w:val="0"/>
              <w:adjustRightInd w:val="0"/>
              <w:rPr>
                <w:lang w:val="en-GB" w:eastAsia="en-GB"/>
              </w:rPr>
            </w:pPr>
          </w:p>
        </w:tc>
        <w:tc>
          <w:tcPr>
            <w:tcW w:w="5670" w:type="dxa"/>
            <w:shd w:val="clear" w:color="auto" w:fill="FFFFFF"/>
          </w:tcPr>
          <w:p w:rsidR="00000000" w:rsidRDefault="00C527AA">
            <w:pPr>
              <w:widowControl w:val="0"/>
              <w:autoSpaceDE w:val="0"/>
              <w:autoSpaceDN w:val="0"/>
              <w:adjustRightInd w:val="0"/>
              <w:rPr>
                <w:lang w:val="en-GB" w:eastAsia="en-GB"/>
              </w:rPr>
            </w:pPr>
          </w:p>
        </w:tc>
        <w:tc>
          <w:tcPr>
            <w:tcW w:w="567" w:type="dxa"/>
            <w:shd w:val="clear" w:color="auto" w:fill="FFFFFF"/>
          </w:tcPr>
          <w:p w:rsidR="00000000" w:rsidRDefault="00C527AA">
            <w:pPr>
              <w:widowControl w:val="0"/>
              <w:autoSpaceDE w:val="0"/>
              <w:autoSpaceDN w:val="0"/>
              <w:adjustRightInd w:val="0"/>
              <w:rPr>
                <w:lang w:val="en-GB" w:eastAsia="en-GB"/>
              </w:rPr>
            </w:pP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The full wording of hazard (H) phrases is given in section 16 of the sheet.</w:t>
      </w: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EYES: Remove contact lenses, if present. Wash immediately with plenty of water for at least 15 minutes, opening the eyelids fully. If problem persists, seek medical advice.</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Remove contaminated clothing. Rinse skin with a shower immediately. Get medic</w:t>
      </w:r>
      <w:r>
        <w:rPr>
          <w:rFonts w:ascii="Arial" w:hAnsi="Arial" w:cs="Arial"/>
          <w:color w:val="000000"/>
          <w:sz w:val="16"/>
          <w:szCs w:val="16"/>
          <w:lang w:val="en-GB" w:eastAsia="en-GB"/>
        </w:rPr>
        <w:t>al advice/attention immediately. Wash contaminated clothing before using it again.</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INHALATION: Remove to open air. If the subject stops breathing, administer artificial respiration. Get medical advice/attention immediately.</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INGESTION: Get medical advice/at</w:t>
      </w:r>
      <w:r>
        <w:rPr>
          <w:rFonts w:ascii="Arial" w:hAnsi="Arial" w:cs="Arial"/>
          <w:color w:val="000000"/>
          <w:sz w:val="16"/>
          <w:szCs w:val="16"/>
          <w:lang w:val="en-GB" w:eastAsia="en-GB"/>
        </w:rPr>
        <w:t>tention immediately. Do not induce vomiting. Do not administer anything not explicitly authorised by a doctor.</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Specific information on symptoms and effects caused by the product are unknown</w:t>
      </w:r>
      <w:r>
        <w:rPr>
          <w:rFonts w:ascii="Arial" w:hAnsi="Arial" w:cs="Arial"/>
          <w:color w:val="000000"/>
          <w:sz w:val="16"/>
          <w:szCs w:val="16"/>
          <w:lang w:val="en-GB" w:eastAsia="en-GB"/>
        </w:rPr>
        <w:t>.</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extinguishing equipment should be of the conventional kind: carbon dioxide, foam, powder and water spray.</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HAZARDS CAUSED BY EXPOSURE IN </w:t>
      </w:r>
      <w:r>
        <w:rPr>
          <w:rFonts w:ascii="Arial" w:hAnsi="Arial" w:cs="Arial"/>
          <w:color w:val="000000"/>
          <w:sz w:val="16"/>
          <w:szCs w:val="16"/>
          <w:lang w:val="en-GB" w:eastAsia="en-GB"/>
        </w:rPr>
        <w:t>THE EVENT OF FIRE</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breathe combustion products.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5.3. Advice for firefighters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development of substances potentially hazardous for health. Always we</w:t>
      </w:r>
      <w:r>
        <w:rPr>
          <w:rFonts w:ascii="Arial" w:hAnsi="Arial" w:cs="Arial"/>
          <w:color w:val="000000"/>
          <w:sz w:val="16"/>
          <w:szCs w:val="16"/>
          <w:lang w:val="en-GB" w:eastAsia="en-GB"/>
        </w:rPr>
        <w:t>ar full fire prevention gear. Collect extinguishing water to prevent it from draining into the sewer system. Dispose of contaminated water used for extinction and the remains of the fire according to applicable regulations.</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w:t>
      </w:r>
      <w:r>
        <w:rPr>
          <w:rFonts w:ascii="Arial" w:hAnsi="Arial" w:cs="Arial"/>
          <w:color w:val="000000"/>
          <w:sz w:val="16"/>
          <w:szCs w:val="16"/>
          <w:lang w:val="en-GB" w:eastAsia="en-GB"/>
        </w:rPr>
        <w:t xml:space="preserve"> FIRE-FIGHTERS</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Normal fire fighting clothing i.e. fire kit (BS EN 469), gloves (BS EN 659) and boots (HO specification A29 and A30) in combination with self-contained open circuit positive pressure compressed air breathing apparatus (BS EN 137).</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w:t>
            </w:r>
            <w:r>
              <w:rPr>
                <w:rFonts w:ascii="Arial" w:hAnsi="Arial" w:cs="Arial"/>
                <w:b/>
                <w:bCs/>
                <w:color w:val="000000"/>
                <w:sz w:val="22"/>
                <w:szCs w:val="22"/>
                <w:lang w:val="en-GB" w:eastAsia="en-GB"/>
              </w:rPr>
              <w:t xml:space="preserve"> 6. Accidental release measures</w:t>
            </w: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Wear suitable protective equipment (including personal protective equipment referred to under Section 8 of the safety data sheet) to prevent any contamination of skin, eyes and personal clothing. These indications apply for both processing staff and those </w:t>
      </w:r>
      <w:r>
        <w:rPr>
          <w:rFonts w:ascii="Arial" w:hAnsi="Arial" w:cs="Arial"/>
          <w:color w:val="000000"/>
          <w:sz w:val="16"/>
          <w:szCs w:val="16"/>
          <w:lang w:val="en-GB" w:eastAsia="en-GB"/>
        </w:rPr>
        <w:t>involved in emergency procedures.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The product must not penetrate into the sewer system or come into contact with surface water or ground water.</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Collect the leaked </w:t>
      </w:r>
      <w:r>
        <w:rPr>
          <w:rFonts w:ascii="Arial" w:hAnsi="Arial" w:cs="Arial"/>
          <w:color w:val="000000"/>
          <w:sz w:val="16"/>
          <w:szCs w:val="16"/>
          <w:lang w:val="en-GB" w:eastAsia="en-GB"/>
        </w:rPr>
        <w:t>product into a suitable container. If the product is flammable, use explosion-proof equipment. Evaluate the compatibility of the container to be used, by checking section 10. Absorb the remainder with inert absorbent material.</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Make sure the leakage site is</w:t>
      </w:r>
      <w:r>
        <w:rPr>
          <w:rFonts w:ascii="Arial" w:hAnsi="Arial" w:cs="Arial"/>
          <w:color w:val="000000"/>
          <w:sz w:val="16"/>
          <w:szCs w:val="16"/>
          <w:lang w:val="en-GB" w:eastAsia="en-GB"/>
        </w:rPr>
        <w:t xml:space="preserve"> well aired. Contaminated material should be disposed of in compliance with the provisions set forth in point 13.</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and storage</w:t>
            </w: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Before handling the product, consult all the other sections of this material safety data sheet. Avoid leakage of the product into the environment. Do not eat, drink or smoke during use. </w:t>
      </w:r>
      <w:r>
        <w:rPr>
          <w:rFonts w:ascii="Arial" w:hAnsi="Arial" w:cs="Arial"/>
          <w:color w:val="000000"/>
          <w:sz w:val="16"/>
          <w:szCs w:val="16"/>
          <w:lang w:val="en-GB" w:eastAsia="en-GB"/>
        </w:rPr>
        <w:t>Remove any contaminated clothes and personal protective equipment before entering places in which people eat.</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including any incompatibilities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Store only in the original container. Store the containers sealed, in a well v</w:t>
      </w:r>
      <w:r>
        <w:rPr>
          <w:rFonts w:ascii="Arial" w:hAnsi="Arial" w:cs="Arial"/>
          <w:color w:val="000000"/>
          <w:sz w:val="16"/>
          <w:szCs w:val="16"/>
          <w:lang w:val="en-GB" w:eastAsia="en-GB"/>
        </w:rPr>
        <w:t>entilated place, away from direct sunlight. Keep containers away from any incompatible materials, see section 10 for details.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Regulatory References:</w:t>
      </w: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000000">
        <w:tblPrEx>
          <w:tblCellMar>
            <w:top w:w="0" w:type="dxa"/>
            <w:bottom w:w="0" w:type="dxa"/>
          </w:tblCellMar>
        </w:tblPrEx>
        <w:tc>
          <w:tcPr>
            <w:tcW w:w="113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20"/>
                <w:szCs w:val="20"/>
                <w:lang w:val="en-GB" w:eastAsia="en-GB"/>
              </w:rPr>
              <w:t>DEU</w:t>
            </w:r>
          </w:p>
        </w:tc>
        <w:tc>
          <w:tcPr>
            <w:tcW w:w="2268"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20"/>
                <w:szCs w:val="20"/>
                <w:lang w:val="en-GB" w:eastAsia="en-GB"/>
              </w:rPr>
              <w:t>Deutschland</w:t>
            </w:r>
          </w:p>
        </w:tc>
        <w:tc>
          <w:tcPr>
            <w:tcW w:w="6804"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20"/>
                <w:szCs w:val="20"/>
                <w:lang w:val="en-GB" w:eastAsia="en-GB"/>
              </w:rPr>
              <w:t>TRGS 900 (Fassung 4.11.2016) - Liste der Arbeitsplatzgrenzwerte und Kurzzeitwerte</w:t>
            </w:r>
          </w:p>
        </w:tc>
      </w:tr>
      <w:tr w:rsidR="00000000">
        <w:tblPrEx>
          <w:tblCellMar>
            <w:top w:w="0" w:type="dxa"/>
            <w:bottom w:w="0" w:type="dxa"/>
          </w:tblCellMar>
        </w:tblPrEx>
        <w:tc>
          <w:tcPr>
            <w:tcW w:w="113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ESP</w:t>
            </w:r>
          </w:p>
        </w:tc>
        <w:tc>
          <w:tcPr>
            <w:tcW w:w="2268"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España</w:t>
            </w:r>
          </w:p>
        </w:tc>
        <w:tc>
          <w:tcPr>
            <w:tcW w:w="6804"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INSHT - Límites de exposición profesional para agentes químicos en España 2017</w:t>
            </w:r>
          </w:p>
        </w:tc>
      </w:tr>
      <w:tr w:rsidR="00000000">
        <w:tblPrEx>
          <w:tblCellMar>
            <w:top w:w="0" w:type="dxa"/>
            <w:bottom w:w="0" w:type="dxa"/>
          </w:tblCellMar>
        </w:tblPrEx>
        <w:tc>
          <w:tcPr>
            <w:tcW w:w="113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FRA</w:t>
            </w:r>
          </w:p>
        </w:tc>
        <w:tc>
          <w:tcPr>
            <w:tcW w:w="2268"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France</w:t>
            </w:r>
          </w:p>
        </w:tc>
        <w:tc>
          <w:tcPr>
            <w:tcW w:w="6804"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JORF n°</w:t>
            </w:r>
            <w:r>
              <w:rPr>
                <w:rFonts w:ascii="Arial" w:hAnsi="Arial" w:cs="Arial"/>
                <w:color w:val="000000"/>
                <w:sz w:val="14"/>
                <w:szCs w:val="14"/>
                <w:lang w:val="en-GB" w:eastAsia="en-GB"/>
              </w:rPr>
              <w:t>0109 du 10 mai 2012 page 8773  texte n° 102</w:t>
            </w:r>
          </w:p>
        </w:tc>
      </w:tr>
      <w:tr w:rsidR="00000000">
        <w:tblPrEx>
          <w:tblCellMar>
            <w:top w:w="0" w:type="dxa"/>
            <w:bottom w:w="0" w:type="dxa"/>
          </w:tblCellMar>
        </w:tblPrEx>
        <w:tc>
          <w:tcPr>
            <w:tcW w:w="113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ITA</w:t>
            </w:r>
          </w:p>
        </w:tc>
        <w:tc>
          <w:tcPr>
            <w:tcW w:w="2268"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Italia</w:t>
            </w:r>
          </w:p>
        </w:tc>
        <w:tc>
          <w:tcPr>
            <w:tcW w:w="6804"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Decreto Legislativo 9 Aprile 2008, n.81</w:t>
            </w:r>
          </w:p>
        </w:tc>
      </w:tr>
      <w:tr w:rsidR="00000000">
        <w:tblPrEx>
          <w:tblCellMar>
            <w:top w:w="0" w:type="dxa"/>
            <w:bottom w:w="0" w:type="dxa"/>
          </w:tblCellMar>
        </w:tblPrEx>
        <w:tc>
          <w:tcPr>
            <w:tcW w:w="113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POL</w:t>
            </w:r>
          </w:p>
        </w:tc>
        <w:tc>
          <w:tcPr>
            <w:tcW w:w="2268"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Polska</w:t>
            </w:r>
          </w:p>
        </w:tc>
        <w:tc>
          <w:tcPr>
            <w:tcW w:w="6804"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ROZPORZĄDZENIE MINISTRA PRACY I POLITYKI SPOŁECZNEJ z dnia 7 czerwca 2017 r</w:t>
            </w:r>
          </w:p>
        </w:tc>
      </w:tr>
    </w:tbl>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000000">
        <w:tblPrEx>
          <w:tblCellMar>
            <w:top w:w="0" w:type="dxa"/>
            <w:bottom w:w="0" w:type="dxa"/>
          </w:tblCellMar>
        </w:tblPrEx>
        <w:tc>
          <w:tcPr>
            <w:tcW w:w="10773" w:type="dxa"/>
            <w:gridSpan w:val="13"/>
            <w:shd w:val="clear" w:color="auto" w:fill="A8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M-TOLYLIDENE DIISOCYANATE</w:t>
            </w:r>
          </w:p>
        </w:tc>
      </w:tr>
      <w:tr w:rsidR="00000000">
        <w:tblPrEx>
          <w:tblCellMar>
            <w:top w:w="0" w:type="dxa"/>
            <w:bottom w:w="0" w:type="dxa"/>
          </w:tblCellMar>
        </w:tblPrEx>
        <w:tc>
          <w:tcPr>
            <w:tcW w:w="10773" w:type="dxa"/>
            <w:gridSpan w:val="13"/>
            <w:shd w:val="clear" w:color="auto" w:fill="D3D3D3"/>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Type</w:t>
            </w:r>
          </w:p>
        </w:tc>
        <w:tc>
          <w:tcPr>
            <w:tcW w:w="1134" w:type="dxa"/>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Country</w:t>
            </w:r>
          </w:p>
        </w:tc>
        <w:tc>
          <w:tcPr>
            <w:tcW w:w="1134" w:type="dxa"/>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TWA/8h</w:t>
            </w:r>
          </w:p>
        </w:tc>
        <w:tc>
          <w:tcPr>
            <w:tcW w:w="1134" w:type="dxa"/>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STEL/15min</w:t>
            </w:r>
          </w:p>
        </w:tc>
        <w:tc>
          <w:tcPr>
            <w:tcW w:w="1134" w:type="dxa"/>
            <w:gridSpan w:val="3"/>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C527AA">
            <w:pPr>
              <w:widowControl w:val="0"/>
              <w:autoSpaceDE w:val="0"/>
              <w:autoSpaceDN w:val="0"/>
              <w:adjustRightInd w:val="0"/>
              <w:jc w:val="both"/>
              <w:rPr>
                <w:lang w:val="en-GB" w:eastAsia="en-GB"/>
              </w:rPr>
            </w:pPr>
            <w:r>
              <w:rPr>
                <w:lang w:val="en-GB" w:eastAsia="en-GB"/>
              </w:rPr>
              <w:t xml:space="preserve"> </w:t>
            </w:r>
          </w:p>
        </w:tc>
        <w:tc>
          <w:tcPr>
            <w:tcW w:w="1134" w:type="dxa"/>
            <w:tcBorders>
              <w:top w:val="single" w:sz="6" w:space="0" w:color="auto"/>
              <w:bottom w:val="single" w:sz="6" w:space="0" w:color="auto"/>
            </w:tcBorders>
            <w:shd w:val="clear" w:color="auto" w:fill="D3D3D3"/>
          </w:tcPr>
          <w:p w:rsidR="00000000" w:rsidRDefault="00C527AA">
            <w:pPr>
              <w:widowControl w:val="0"/>
              <w:autoSpaceDE w:val="0"/>
              <w:autoSpaceDN w:val="0"/>
              <w:adjustRightInd w:val="0"/>
              <w:jc w:val="both"/>
              <w:rPr>
                <w:lang w:val="en-GB" w:eastAsia="en-GB"/>
              </w:rPr>
            </w:pPr>
          </w:p>
        </w:tc>
        <w:tc>
          <w:tcPr>
            <w:tcW w:w="1134" w:type="dxa"/>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gridSpan w:val="2"/>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gridSpan w:val="3"/>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gridSpan w:val="2"/>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AGW</w:t>
            </w:r>
          </w:p>
        </w:tc>
        <w:tc>
          <w:tcPr>
            <w:tcW w:w="1134" w:type="dxa"/>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DEU</w:t>
            </w:r>
          </w:p>
        </w:tc>
        <w:tc>
          <w:tcPr>
            <w:tcW w:w="1134" w:type="dxa"/>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0,035</w:t>
            </w:r>
          </w:p>
        </w:tc>
        <w:tc>
          <w:tcPr>
            <w:tcW w:w="1134" w:type="dxa"/>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0,005</w:t>
            </w:r>
          </w:p>
        </w:tc>
        <w:tc>
          <w:tcPr>
            <w:tcW w:w="1134" w:type="dxa"/>
            <w:gridSpan w:val="2"/>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0,14 (C)</w:t>
            </w:r>
          </w:p>
        </w:tc>
        <w:tc>
          <w:tcPr>
            <w:tcW w:w="1134" w:type="dxa"/>
            <w:gridSpan w:val="3"/>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0,02 (C)</w:t>
            </w:r>
          </w:p>
        </w:tc>
        <w:tc>
          <w:tcPr>
            <w:tcW w:w="1134" w:type="dxa"/>
            <w:gridSpan w:val="2"/>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INHAL</w:t>
            </w:r>
          </w:p>
        </w:tc>
        <w:tc>
          <w:tcPr>
            <w:tcW w:w="1701" w:type="dxa"/>
            <w:gridSpan w:val="2"/>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VLA</w:t>
            </w:r>
          </w:p>
        </w:tc>
        <w:tc>
          <w:tcPr>
            <w:tcW w:w="1134" w:type="dxa"/>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ESP</w:t>
            </w:r>
          </w:p>
        </w:tc>
        <w:tc>
          <w:tcPr>
            <w:tcW w:w="1134" w:type="dxa"/>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0,036</w:t>
            </w:r>
          </w:p>
        </w:tc>
        <w:tc>
          <w:tcPr>
            <w:tcW w:w="1134" w:type="dxa"/>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0,005</w:t>
            </w:r>
          </w:p>
        </w:tc>
        <w:tc>
          <w:tcPr>
            <w:tcW w:w="1134" w:type="dxa"/>
            <w:gridSpan w:val="2"/>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0,14</w:t>
            </w:r>
          </w:p>
        </w:tc>
        <w:tc>
          <w:tcPr>
            <w:tcW w:w="1134" w:type="dxa"/>
            <w:gridSpan w:val="3"/>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0,02</w:t>
            </w:r>
          </w:p>
        </w:tc>
        <w:tc>
          <w:tcPr>
            <w:tcW w:w="1134" w:type="dxa"/>
            <w:gridSpan w:val="2"/>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VLEP</w:t>
            </w:r>
          </w:p>
        </w:tc>
        <w:tc>
          <w:tcPr>
            <w:tcW w:w="1134" w:type="dxa"/>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FRA</w:t>
            </w:r>
          </w:p>
        </w:tc>
        <w:tc>
          <w:tcPr>
            <w:tcW w:w="1134" w:type="dxa"/>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0,08</w:t>
            </w:r>
          </w:p>
        </w:tc>
        <w:tc>
          <w:tcPr>
            <w:tcW w:w="1134" w:type="dxa"/>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0,01</w:t>
            </w:r>
          </w:p>
        </w:tc>
        <w:tc>
          <w:tcPr>
            <w:tcW w:w="1134" w:type="dxa"/>
            <w:gridSpan w:val="2"/>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0,16</w:t>
            </w:r>
          </w:p>
        </w:tc>
        <w:tc>
          <w:tcPr>
            <w:tcW w:w="1134" w:type="dxa"/>
            <w:gridSpan w:val="3"/>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0,02</w:t>
            </w:r>
          </w:p>
        </w:tc>
        <w:tc>
          <w:tcPr>
            <w:tcW w:w="1134" w:type="dxa"/>
            <w:gridSpan w:val="2"/>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VLEP</w:t>
            </w:r>
          </w:p>
        </w:tc>
        <w:tc>
          <w:tcPr>
            <w:tcW w:w="1134" w:type="dxa"/>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ITA</w:t>
            </w:r>
          </w:p>
        </w:tc>
        <w:tc>
          <w:tcPr>
            <w:tcW w:w="1134" w:type="dxa"/>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0,16</w:t>
            </w:r>
          </w:p>
        </w:tc>
        <w:tc>
          <w:tcPr>
            <w:tcW w:w="1134" w:type="dxa"/>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0,02</w:t>
            </w:r>
          </w:p>
        </w:tc>
        <w:tc>
          <w:tcPr>
            <w:tcW w:w="1134" w:type="dxa"/>
            <w:gridSpan w:val="2"/>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0,01</w:t>
            </w:r>
          </w:p>
        </w:tc>
        <w:tc>
          <w:tcPr>
            <w:tcW w:w="1134" w:type="dxa"/>
            <w:gridSpan w:val="3"/>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NDS</w:t>
            </w:r>
          </w:p>
        </w:tc>
        <w:tc>
          <w:tcPr>
            <w:tcW w:w="1134"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POL</w:t>
            </w:r>
          </w:p>
        </w:tc>
        <w:tc>
          <w:tcPr>
            <w:tcW w:w="1134"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0,007</w:t>
            </w:r>
          </w:p>
        </w:tc>
        <w:tc>
          <w:tcPr>
            <w:tcW w:w="1134" w:type="dxa"/>
            <w:shd w:val="clear" w:color="auto" w:fill="FFFFFF"/>
          </w:tcPr>
          <w:p w:rsidR="00000000" w:rsidRDefault="00C527AA">
            <w:pPr>
              <w:widowControl w:val="0"/>
              <w:autoSpaceDE w:val="0"/>
              <w:autoSpaceDN w:val="0"/>
              <w:adjustRightInd w:val="0"/>
              <w:rPr>
                <w:lang w:val="en-GB" w:eastAsia="en-GB"/>
              </w:rPr>
            </w:pPr>
          </w:p>
        </w:tc>
        <w:tc>
          <w:tcPr>
            <w:tcW w:w="1134" w:type="dxa"/>
            <w:gridSpan w:val="2"/>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0,021</w:t>
            </w:r>
          </w:p>
        </w:tc>
        <w:tc>
          <w:tcPr>
            <w:tcW w:w="1134" w:type="dxa"/>
            <w:gridSpan w:val="3"/>
            <w:shd w:val="clear" w:color="auto" w:fill="FFFFFF"/>
          </w:tcPr>
          <w:p w:rsidR="00000000" w:rsidRDefault="00C527AA">
            <w:pPr>
              <w:widowControl w:val="0"/>
              <w:autoSpaceDE w:val="0"/>
              <w:autoSpaceDN w:val="0"/>
              <w:adjustRightInd w:val="0"/>
              <w:rPr>
                <w:lang w:val="en-GB" w:eastAsia="en-GB"/>
              </w:rPr>
            </w:pPr>
          </w:p>
        </w:tc>
        <w:tc>
          <w:tcPr>
            <w:tcW w:w="1134" w:type="dxa"/>
            <w:gridSpan w:val="2"/>
            <w:shd w:val="clear" w:color="auto" w:fill="FFFFFF"/>
          </w:tcPr>
          <w:p w:rsidR="00000000" w:rsidRDefault="00C527AA">
            <w:pPr>
              <w:widowControl w:val="0"/>
              <w:autoSpaceDE w:val="0"/>
              <w:autoSpaceDN w:val="0"/>
              <w:adjustRightInd w:val="0"/>
              <w:rPr>
                <w:lang w:val="en-GB" w:eastAsia="en-GB"/>
              </w:rPr>
            </w:pPr>
          </w:p>
        </w:tc>
        <w:tc>
          <w:tcPr>
            <w:tcW w:w="1701" w:type="dxa"/>
            <w:gridSpan w:val="2"/>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 xml:space="preserve">Predicted </w:t>
            </w:r>
            <w:r>
              <w:rPr>
                <w:rFonts w:ascii="Arial" w:hAnsi="Arial" w:cs="Arial"/>
                <w:color w:val="000000"/>
                <w:sz w:val="14"/>
                <w:szCs w:val="14"/>
                <w:lang w:val="en-GB" w:eastAsia="en-GB"/>
              </w:rPr>
              <w:t>no-effect concentration - PNEC</w:t>
            </w:r>
          </w:p>
        </w:tc>
        <w:tc>
          <w:tcPr>
            <w:tcW w:w="1701" w:type="dxa"/>
            <w:gridSpan w:val="3"/>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p>
        </w:tc>
        <w:tc>
          <w:tcPr>
            <w:tcW w:w="1701" w:type="dxa"/>
            <w:gridSpan w:val="4"/>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in fresh water</w:t>
            </w:r>
          </w:p>
        </w:tc>
        <w:tc>
          <w:tcPr>
            <w:tcW w:w="1701" w:type="dxa"/>
            <w:gridSpan w:val="3"/>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13</w:t>
            </w:r>
          </w:p>
        </w:tc>
        <w:tc>
          <w:tcPr>
            <w:tcW w:w="1701" w:type="dxa"/>
            <w:gridSpan w:val="4"/>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shd w:val="clear" w:color="auto" w:fill="FFFFFF"/>
          </w:tcPr>
          <w:p w:rsidR="00000000" w:rsidRDefault="00C527AA">
            <w:pPr>
              <w:widowControl w:val="0"/>
              <w:autoSpaceDE w:val="0"/>
              <w:autoSpaceDN w:val="0"/>
              <w:adjustRightInd w:val="0"/>
              <w:rPr>
                <w:lang w:val="en-GB" w:eastAsia="en-GB"/>
              </w:rPr>
            </w:pPr>
            <w:r>
              <w:rPr>
                <w:lang w:val="en-GB" w:eastAsia="en-GB"/>
              </w:rPr>
              <w:lastRenderedPageBreak/>
              <w:t xml:space="preserve"> </w:t>
            </w:r>
            <w:r>
              <w:rPr>
                <w:rFonts w:ascii="Arial" w:hAnsi="Arial" w:cs="Arial"/>
                <w:color w:val="000000"/>
                <w:sz w:val="14"/>
                <w:szCs w:val="14"/>
                <w:lang w:val="en-GB" w:eastAsia="en-GB"/>
              </w:rPr>
              <w:t>Normal value in marine water</w:t>
            </w:r>
          </w:p>
        </w:tc>
        <w:tc>
          <w:tcPr>
            <w:tcW w:w="1701" w:type="dxa"/>
            <w:gridSpan w:val="3"/>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125</w:t>
            </w:r>
          </w:p>
        </w:tc>
        <w:tc>
          <w:tcPr>
            <w:tcW w:w="1701" w:type="dxa"/>
            <w:gridSpan w:val="4"/>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10773" w:type="dxa"/>
            <w:gridSpan w:val="13"/>
            <w:shd w:val="clear" w:color="auto" w:fill="D3D3D3"/>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Health - Derived no-effect level - DNEL / DMEL</w:t>
            </w:r>
          </w:p>
        </w:tc>
      </w:tr>
      <w:tr w:rsidR="00000000">
        <w:tblPrEx>
          <w:tblCellMar>
            <w:top w:w="0" w:type="dxa"/>
            <w:bottom w:w="0" w:type="dxa"/>
          </w:tblCellMar>
        </w:tblPrEx>
        <w:tc>
          <w:tcPr>
            <w:tcW w:w="2268" w:type="dxa"/>
            <w:shd w:val="clear" w:color="auto" w:fill="D3D3D3"/>
          </w:tcPr>
          <w:p w:rsidR="00000000" w:rsidRDefault="00C527AA">
            <w:pPr>
              <w:widowControl w:val="0"/>
              <w:autoSpaceDE w:val="0"/>
              <w:autoSpaceDN w:val="0"/>
              <w:adjustRightInd w:val="0"/>
              <w:jc w:val="both"/>
              <w:rPr>
                <w:lang w:val="en-GB" w:eastAsia="en-GB"/>
              </w:rPr>
            </w:pPr>
            <w:r>
              <w:rPr>
                <w:lang w:val="en-GB" w:eastAsia="en-GB"/>
              </w:rPr>
              <w:t xml:space="preserve"> </w:t>
            </w:r>
          </w:p>
        </w:tc>
        <w:tc>
          <w:tcPr>
            <w:tcW w:w="1134" w:type="dxa"/>
            <w:shd w:val="clear" w:color="auto" w:fill="D3D3D3"/>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Effects on consumers</w:t>
            </w:r>
          </w:p>
        </w:tc>
        <w:tc>
          <w:tcPr>
            <w:tcW w:w="1134" w:type="dxa"/>
            <w:shd w:val="clear" w:color="auto" w:fill="D3D3D3"/>
          </w:tcPr>
          <w:p w:rsidR="00000000" w:rsidRDefault="00C527AA">
            <w:pPr>
              <w:widowControl w:val="0"/>
              <w:autoSpaceDE w:val="0"/>
              <w:autoSpaceDN w:val="0"/>
              <w:adjustRightInd w:val="0"/>
              <w:rPr>
                <w:lang w:val="en-GB" w:eastAsia="en-GB"/>
              </w:rPr>
            </w:pPr>
          </w:p>
        </w:tc>
        <w:tc>
          <w:tcPr>
            <w:tcW w:w="1134" w:type="dxa"/>
            <w:shd w:val="clear" w:color="auto" w:fill="D3D3D3"/>
          </w:tcPr>
          <w:p w:rsidR="00000000" w:rsidRDefault="00C527AA">
            <w:pPr>
              <w:widowControl w:val="0"/>
              <w:autoSpaceDE w:val="0"/>
              <w:autoSpaceDN w:val="0"/>
              <w:adjustRightInd w:val="0"/>
              <w:rPr>
                <w:lang w:val="en-GB" w:eastAsia="en-GB"/>
              </w:rPr>
            </w:pPr>
          </w:p>
        </w:tc>
        <w:tc>
          <w:tcPr>
            <w:tcW w:w="1020" w:type="dxa"/>
            <w:shd w:val="clear" w:color="auto" w:fill="D3D3D3"/>
          </w:tcPr>
          <w:p w:rsidR="00000000" w:rsidRDefault="00C527AA">
            <w:pPr>
              <w:widowControl w:val="0"/>
              <w:autoSpaceDE w:val="0"/>
              <w:autoSpaceDN w:val="0"/>
              <w:adjustRightInd w:val="0"/>
              <w:rPr>
                <w:lang w:val="en-GB" w:eastAsia="en-GB"/>
              </w:rPr>
            </w:pPr>
          </w:p>
        </w:tc>
        <w:tc>
          <w:tcPr>
            <w:tcW w:w="1020" w:type="dxa"/>
            <w:gridSpan w:val="3"/>
            <w:shd w:val="clear" w:color="auto" w:fill="D3D3D3"/>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Effects on workers</w:t>
            </w:r>
          </w:p>
        </w:tc>
        <w:tc>
          <w:tcPr>
            <w:tcW w:w="1020" w:type="dxa"/>
            <w:gridSpan w:val="2"/>
            <w:shd w:val="clear" w:color="auto" w:fill="D3D3D3"/>
          </w:tcPr>
          <w:p w:rsidR="00000000" w:rsidRDefault="00C527AA">
            <w:pPr>
              <w:widowControl w:val="0"/>
              <w:autoSpaceDE w:val="0"/>
              <w:autoSpaceDN w:val="0"/>
              <w:adjustRightInd w:val="0"/>
              <w:rPr>
                <w:lang w:val="en-GB" w:eastAsia="en-GB"/>
              </w:rPr>
            </w:pPr>
          </w:p>
        </w:tc>
        <w:tc>
          <w:tcPr>
            <w:tcW w:w="1020" w:type="dxa"/>
            <w:gridSpan w:val="2"/>
            <w:shd w:val="clear" w:color="auto" w:fill="D3D3D3"/>
          </w:tcPr>
          <w:p w:rsidR="00000000" w:rsidRDefault="00C527AA">
            <w:pPr>
              <w:widowControl w:val="0"/>
              <w:autoSpaceDE w:val="0"/>
              <w:autoSpaceDN w:val="0"/>
              <w:adjustRightInd w:val="0"/>
              <w:rPr>
                <w:lang w:val="en-GB" w:eastAsia="en-GB"/>
              </w:rPr>
            </w:pPr>
          </w:p>
        </w:tc>
        <w:tc>
          <w:tcPr>
            <w:tcW w:w="1020" w:type="dxa"/>
            <w:shd w:val="clear" w:color="auto" w:fill="D3D3D3"/>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Route of exposure</w:t>
            </w:r>
          </w:p>
        </w:tc>
        <w:tc>
          <w:tcPr>
            <w:tcW w:w="1134" w:type="dxa"/>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134" w:type="dxa"/>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134" w:type="dxa"/>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c>
          <w:tcPr>
            <w:tcW w:w="1020" w:type="dxa"/>
            <w:gridSpan w:val="3"/>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gridSpan w:val="2"/>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020" w:type="dxa"/>
            <w:gridSpan w:val="2"/>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020" w:type="dxa"/>
            <w:tcBorders>
              <w:top w:val="single" w:sz="6" w:space="0" w:color="auto"/>
              <w:bottom w:val="single" w:sz="6" w:space="0" w:color="auto"/>
            </w:tcBorders>
            <w:shd w:val="clear" w:color="auto" w:fill="D3D3D3"/>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r>
      <w:tr w:rsidR="00000000">
        <w:tblPrEx>
          <w:tblCellMar>
            <w:top w:w="0" w:type="dxa"/>
            <w:bottom w:w="0" w:type="dxa"/>
          </w:tblCellMar>
        </w:tblPrEx>
        <w:tc>
          <w:tcPr>
            <w:tcW w:w="2268"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Inhalation</w:t>
            </w:r>
          </w:p>
        </w:tc>
        <w:tc>
          <w:tcPr>
            <w:tcW w:w="1134" w:type="dxa"/>
            <w:shd w:val="clear" w:color="auto" w:fill="FFFFFF"/>
          </w:tcPr>
          <w:p w:rsidR="00000000" w:rsidRDefault="00C527AA">
            <w:pPr>
              <w:widowControl w:val="0"/>
              <w:autoSpaceDE w:val="0"/>
              <w:autoSpaceDN w:val="0"/>
              <w:adjustRightInd w:val="0"/>
              <w:rPr>
                <w:lang w:val="en-GB" w:eastAsia="en-GB"/>
              </w:rPr>
            </w:pPr>
          </w:p>
        </w:tc>
        <w:tc>
          <w:tcPr>
            <w:tcW w:w="1134" w:type="dxa"/>
            <w:shd w:val="clear" w:color="auto" w:fill="FFFFFF"/>
          </w:tcPr>
          <w:p w:rsidR="00000000" w:rsidRDefault="00C527AA">
            <w:pPr>
              <w:widowControl w:val="0"/>
              <w:autoSpaceDE w:val="0"/>
              <w:autoSpaceDN w:val="0"/>
              <w:adjustRightInd w:val="0"/>
              <w:rPr>
                <w:lang w:val="en-GB" w:eastAsia="en-GB"/>
              </w:rPr>
            </w:pPr>
          </w:p>
        </w:tc>
        <w:tc>
          <w:tcPr>
            <w:tcW w:w="1134" w:type="dxa"/>
            <w:shd w:val="clear" w:color="auto" w:fill="FFFFFF"/>
          </w:tcPr>
          <w:p w:rsidR="00000000" w:rsidRDefault="00C527AA">
            <w:pPr>
              <w:widowControl w:val="0"/>
              <w:autoSpaceDE w:val="0"/>
              <w:autoSpaceDN w:val="0"/>
              <w:adjustRightInd w:val="0"/>
              <w:rPr>
                <w:lang w:val="en-GB" w:eastAsia="en-GB"/>
              </w:rPr>
            </w:pPr>
          </w:p>
        </w:tc>
        <w:tc>
          <w:tcPr>
            <w:tcW w:w="1020" w:type="dxa"/>
            <w:shd w:val="clear" w:color="auto" w:fill="FFFFFF"/>
          </w:tcPr>
          <w:p w:rsidR="00000000" w:rsidRDefault="00C527AA">
            <w:pPr>
              <w:widowControl w:val="0"/>
              <w:autoSpaceDE w:val="0"/>
              <w:autoSpaceDN w:val="0"/>
              <w:adjustRightInd w:val="0"/>
              <w:rPr>
                <w:lang w:val="en-GB" w:eastAsia="en-GB"/>
              </w:rPr>
            </w:pPr>
          </w:p>
        </w:tc>
        <w:tc>
          <w:tcPr>
            <w:tcW w:w="1020" w:type="dxa"/>
            <w:gridSpan w:val="3"/>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0.14 mg/m3</w:t>
            </w:r>
          </w:p>
        </w:tc>
        <w:tc>
          <w:tcPr>
            <w:tcW w:w="1020" w:type="dxa"/>
            <w:gridSpan w:val="2"/>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0.14 mg/m3</w:t>
            </w:r>
          </w:p>
        </w:tc>
        <w:tc>
          <w:tcPr>
            <w:tcW w:w="1020" w:type="dxa"/>
            <w:gridSpan w:val="2"/>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0.035 mg/m3</w:t>
            </w:r>
          </w:p>
        </w:tc>
        <w:tc>
          <w:tcPr>
            <w:tcW w:w="102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4"/>
                <w:szCs w:val="14"/>
                <w:lang w:val="en-GB" w:eastAsia="en-GB"/>
              </w:rPr>
              <w:t>0.035 mg/m3</w:t>
            </w: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 = CEILING   ;   INHAL = Inhalable Fraction   ;   RESP = </w:t>
      </w:r>
      <w:r>
        <w:rPr>
          <w:rFonts w:ascii="Arial" w:hAnsi="Arial" w:cs="Arial"/>
          <w:color w:val="000000"/>
          <w:sz w:val="16"/>
          <w:szCs w:val="16"/>
          <w:lang w:val="en-GB" w:eastAsia="en-GB"/>
        </w:rPr>
        <w:t>Respirable Fraction   ;   THORA = Thoracic Fraction.</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VND = hazard identified but no DNEL/PNEC available   ;   NEA = no exposure expected   ;   NPI = no hazard identified.</w:t>
      </w: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As the use of adequate technical equipment must always take priority over personal protective equipment, make sure that the workplace is well aired through effective local aspiration.</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When choosing personal protective equipment, ask your chemical substance</w:t>
      </w:r>
      <w:r>
        <w:rPr>
          <w:rFonts w:ascii="Arial" w:hAnsi="Arial" w:cs="Arial"/>
          <w:color w:val="000000"/>
          <w:sz w:val="16"/>
          <w:szCs w:val="16"/>
          <w:lang w:val="en-GB" w:eastAsia="en-GB"/>
        </w:rPr>
        <w:t xml:space="preserve"> supplier for advice.</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Personal protective equipment must be CE marked, showing that it complies with applicable standards.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an emergency shower with face and eye wash station.</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Protect hands with category III work gloves (see standa</w:t>
      </w:r>
      <w:r>
        <w:rPr>
          <w:rFonts w:ascii="Arial" w:hAnsi="Arial" w:cs="Arial"/>
          <w:color w:val="000000"/>
          <w:sz w:val="16"/>
          <w:szCs w:val="16"/>
          <w:lang w:val="en-GB" w:eastAsia="en-GB"/>
        </w:rPr>
        <w:t>rd EN 374).</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should be considered when choosing work glove material: compatibility, degradation, failure time and permeability.</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work gloves' resistance to chemical agents should be checked before use, as it can be unpredictable. The gloves</w:t>
      </w:r>
      <w:r>
        <w:rPr>
          <w:rFonts w:ascii="Arial" w:hAnsi="Arial" w:cs="Arial"/>
          <w:color w:val="000000"/>
          <w:sz w:val="16"/>
          <w:szCs w:val="16"/>
          <w:lang w:val="en-GB" w:eastAsia="en-GB"/>
        </w:rPr>
        <w:t>' wear time depends on the duration and type of use.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PROTECTION</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category II professional long-sleeved overalls and safety footwear (see Directive 89/686/EEC and standard EN ISO 20344). Wash body with soap and water after removing protective clot</w:t>
      </w:r>
      <w:r>
        <w:rPr>
          <w:rFonts w:ascii="Arial" w:hAnsi="Arial" w:cs="Arial"/>
          <w:color w:val="000000"/>
          <w:sz w:val="16"/>
          <w:szCs w:val="16"/>
          <w:lang w:val="en-GB" w:eastAsia="en-GB"/>
        </w:rPr>
        <w:t>hing.</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airtight protective goggles (see standard EN 166).</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threshold value (e.g. TLV-TWA) is exceeded for the substance or one of the substances present in the product, use a mask with a type B filter whose</w:t>
      </w:r>
      <w:r>
        <w:rPr>
          <w:rFonts w:ascii="Arial" w:hAnsi="Arial" w:cs="Arial"/>
          <w:color w:val="000000"/>
          <w:sz w:val="16"/>
          <w:szCs w:val="16"/>
          <w:lang w:val="en-GB" w:eastAsia="en-GB"/>
        </w:rPr>
        <w:t xml:space="preserve"> class (1, 2 or 3) must be chosen according to the limit of use concentration. (see standard EN 14387). In the presence of gases or vapours of various kinds and/or gases or vapours containing particulate (aerosol sprays, fumes, mists, etc.) combined filter</w:t>
      </w:r>
      <w:r>
        <w:rPr>
          <w:rFonts w:ascii="Arial" w:hAnsi="Arial" w:cs="Arial"/>
          <w:color w:val="000000"/>
          <w:sz w:val="16"/>
          <w:szCs w:val="16"/>
          <w:lang w:val="en-GB" w:eastAsia="en-GB"/>
        </w:rPr>
        <w:t>s are required.</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 devices must be used if the technical measures adopted are not suitable for restricting the worker's exposure to the threshold values considered. The protection provided by masks is in any case limited.</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substan</w:t>
      </w:r>
      <w:r>
        <w:rPr>
          <w:rFonts w:ascii="Arial" w:hAnsi="Arial" w:cs="Arial"/>
          <w:color w:val="000000"/>
          <w:sz w:val="16"/>
          <w:szCs w:val="16"/>
          <w:lang w:val="en-GB" w:eastAsia="en-GB"/>
        </w:rPr>
        <w:t>ce considered is odourless or its olfactory threshold is higher than the corresponding TLV-TWA and in the case of an emergency, wear open-circuit compressed air breathing apparatus (in compliance with standard EN 137) or external air-intake breathing appar</w:t>
      </w:r>
      <w:r>
        <w:rPr>
          <w:rFonts w:ascii="Arial" w:hAnsi="Arial" w:cs="Arial"/>
          <w:color w:val="000000"/>
          <w:sz w:val="16"/>
          <w:szCs w:val="16"/>
          <w:lang w:val="en-GB" w:eastAsia="en-GB"/>
        </w:rPr>
        <w:t>atus (in compliance with standard EN 138). For a correct choice of respiratory protection device, see standard EN 529.</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w:t>
      </w:r>
      <w:r>
        <w:rPr>
          <w:rFonts w:ascii="Arial" w:hAnsi="Arial" w:cs="Arial"/>
          <w:color w:val="000000"/>
          <w:sz w:val="16"/>
          <w:szCs w:val="16"/>
          <w:lang w:val="en-GB" w:eastAsia="en-GB"/>
        </w:rPr>
        <w:t>cesses, including those generated by ventilation equipment, should be checked to ensure compliance with environmental standards.</w:t>
      </w: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chemical properties</w:t>
            </w:r>
          </w:p>
        </w:tc>
      </w:tr>
    </w:tbl>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properties</w:t>
            </w:r>
          </w:p>
        </w:tc>
      </w:tr>
    </w:tbl>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liqui</w:t>
            </w:r>
            <w:r>
              <w:rPr>
                <w:rFonts w:ascii="Arial" w:hAnsi="Arial" w:cs="Arial"/>
                <w:color w:val="000000"/>
                <w:sz w:val="16"/>
                <w:szCs w:val="16"/>
                <w:lang w:val="en-GB" w:eastAsia="en-GB"/>
              </w:rPr>
              <w:t>d</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lastRenderedPageBreak/>
              <w:t xml:space="preserve"> </w:t>
            </w:r>
            <w:r>
              <w:rPr>
                <w:rFonts w:ascii="Arial" w:hAnsi="Arial" w:cs="Arial"/>
                <w:color w:val="000000"/>
                <w:sz w:val="16"/>
                <w:szCs w:val="16"/>
                <w:lang w:val="en-GB" w:eastAsia="en-GB"/>
              </w:rPr>
              <w:t>Odour threshold</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15 °C</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225 °C</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0,9 % (V/V)</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9,5 % (V/V)</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immiscible with water</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430 °C</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220</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Total solids (250°C / 482°F)</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23,50 %</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0</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0</w:t>
            </w:r>
          </w:p>
        </w:tc>
      </w:tr>
    </w:tbl>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M-TOLYLIDENE DIISOCYANATE</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SADT = 230°C/446°F.</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w:t>
      </w:r>
      <w:r>
        <w:rPr>
          <w:rFonts w:ascii="Arial" w:hAnsi="Arial" w:cs="Arial"/>
          <w:b/>
          <w:bCs/>
          <w:color w:val="000000"/>
          <w:sz w:val="16"/>
          <w:szCs w:val="16"/>
          <w:lang w:val="en-GB" w:eastAsia="en-GB"/>
        </w:rPr>
        <w:t>ossibility of hazardous reactions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hazardous reactions are foreseeable in normal conditions of use and storage.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 However the usual precautions used for chemical products should be respected.</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w:t>
      </w:r>
      <w:r>
        <w:rPr>
          <w:rFonts w:ascii="Arial" w:hAnsi="Arial" w:cs="Arial"/>
          <w:b/>
          <w:bCs/>
          <w:color w:val="000000"/>
          <w:sz w:val="16"/>
          <w:szCs w:val="16"/>
          <w:lang w:val="en-GB" w:eastAsia="en-GB"/>
        </w:rPr>
        <w:t>ible materials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decomposition products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C527AA">
            <w:pPr>
              <w:widowControl w:val="0"/>
              <w:autoSpaceDE w:val="0"/>
              <w:autoSpaceDN w:val="0"/>
              <w:adjustRightInd w:val="0"/>
              <w:rPr>
                <w:lang w:val="en-GB" w:eastAsia="en-GB"/>
              </w:rPr>
            </w:pPr>
            <w:r>
              <w:rPr>
                <w:lang w:val="en-GB" w:eastAsia="en-GB"/>
              </w:rPr>
              <w:lastRenderedPageBreak/>
              <w:t xml:space="preserve"> </w:t>
            </w:r>
            <w:r>
              <w:rPr>
                <w:rFonts w:ascii="Arial" w:hAnsi="Arial" w:cs="Arial"/>
                <w:b/>
                <w:bCs/>
                <w:color w:val="000000"/>
                <w:sz w:val="22"/>
                <w:szCs w:val="22"/>
                <w:lang w:val="en-GB" w:eastAsia="en-GB"/>
              </w:rPr>
              <w:t>SECTION 11. Toxicological information</w:t>
            </w: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 and other information</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w:t>
      </w:r>
      <w:r>
        <w:rPr>
          <w:rFonts w:ascii="Arial" w:hAnsi="Arial" w:cs="Arial"/>
          <w:color w:val="000000"/>
          <w:sz w:val="16"/>
          <w:szCs w:val="16"/>
          <w:u w:val="single"/>
          <w:lang w:val="en-GB" w:eastAsia="en-GB"/>
        </w:rPr>
        <w:t>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Interactive effects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of the mixture:8,33 mg/l</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of the mixture:Not classified (no significant component)</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of the mixture:</w:t>
      </w:r>
      <w:r>
        <w:rPr>
          <w:rFonts w:ascii="Arial" w:hAnsi="Arial" w:cs="Arial"/>
          <w:color w:val="000000"/>
          <w:sz w:val="16"/>
          <w:szCs w:val="16"/>
          <w:lang w:val="en-GB" w:eastAsia="en-GB"/>
        </w:rPr>
        <w:t>Not classified (no significant component)</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M-TOLYLIDENE DIISOCYANATE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4130 mg/kg Mouse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&gt; 9400 mg/kg Rabbit</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0,48 mg/l Rat</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BENZENE,1,3-DIISOCYANATO-2-METHYL-,POLYMER WITH 2,4-DIISOCYANATO-1-METHYLBENZENE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w:t>
      </w:r>
      <w:r>
        <w:rPr>
          <w:rFonts w:ascii="Arial" w:hAnsi="Arial" w:cs="Arial"/>
          <w:color w:val="000000"/>
          <w:sz w:val="16"/>
          <w:szCs w:val="16"/>
          <w:lang w:val="en-GB" w:eastAsia="en-GB"/>
        </w:rPr>
        <w:t xml:space="preserve"> (Oral) &gt; 5000 mg/kg Ratto</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&gt; 5 mg/l/4h Ratto</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lang w:val="en-GB" w:eastAsia="en-GB"/>
        </w:rPr>
        <w:t>Causes serious eye irritation</w:t>
      </w:r>
    </w:p>
    <w:p w:rsidR="00000000" w:rsidRDefault="00C527A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lang w:val="en-GB" w:eastAsia="en-GB"/>
        </w:rPr>
        <w:t>Sensitising for the skinSensitising for the respiratory systemMay produce an allergic reaction.Contains:M-TOLYLIDENE DIISOCYANATE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lastRenderedPageBreak/>
        <w:t>GERM CELL MUTAGENICITY</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w:t>
      </w:r>
      <w:r>
        <w:rPr>
          <w:rFonts w:ascii="Arial" w:hAnsi="Arial" w:cs="Arial"/>
          <w:color w:val="000000"/>
          <w:sz w:val="16"/>
          <w:szCs w:val="16"/>
          <w:lang w:val="en-GB" w:eastAsia="en-GB"/>
        </w:rPr>
        <w:t xml:space="preserve"> classification criteria for this hazard class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ASPIRATION HAZARD</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specific data are available for this product. Handle it according</w:t>
      </w:r>
      <w:r>
        <w:rPr>
          <w:rFonts w:ascii="Arial" w:hAnsi="Arial" w:cs="Arial"/>
          <w:color w:val="000000"/>
          <w:sz w:val="16"/>
          <w:szCs w:val="16"/>
          <w:lang w:val="en-GB" w:eastAsia="en-GB"/>
        </w:rPr>
        <w:t xml:space="preserve"> to good working practices. Avoid littering. Do not contaminate soil and waterways. Inform the competent authorities, should the product reach waterways or contaminate soil or vegetation. Please take all the proper measures to reduce harmful effects on aqu</w:t>
      </w:r>
      <w:r>
        <w:rPr>
          <w:rFonts w:ascii="Arial" w:hAnsi="Arial" w:cs="Arial"/>
          <w:color w:val="000000"/>
          <w:sz w:val="16"/>
          <w:szCs w:val="16"/>
          <w:lang w:val="en-GB" w:eastAsia="en-GB"/>
        </w:rPr>
        <w:t>ifers.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M-TOLYLIDENE DIISOCYANATE</w:t>
            </w:r>
          </w:p>
        </w:tc>
        <w:tc>
          <w:tcPr>
            <w:tcW w:w="1134" w:type="dxa"/>
            <w:shd w:val="clear" w:color="auto" w:fill="FFFFFF"/>
          </w:tcPr>
          <w:p w:rsidR="00000000" w:rsidRDefault="00C527AA">
            <w:pPr>
              <w:widowControl w:val="0"/>
              <w:autoSpaceDE w:val="0"/>
              <w:autoSpaceDN w:val="0"/>
              <w:adjustRightInd w:val="0"/>
              <w:rPr>
                <w:lang w:val="en-GB" w:eastAsia="en-GB"/>
              </w:rPr>
            </w:pPr>
          </w:p>
        </w:tc>
        <w:tc>
          <w:tcPr>
            <w:tcW w:w="5670"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LC50 - for Fish</w:t>
            </w:r>
          </w:p>
        </w:tc>
        <w:tc>
          <w:tcPr>
            <w:tcW w:w="1134" w:type="dxa"/>
            <w:shd w:val="clear" w:color="auto" w:fill="FFFFFF"/>
          </w:tcPr>
          <w:p w:rsidR="00000000" w:rsidRDefault="00C527AA">
            <w:pPr>
              <w:widowControl w:val="0"/>
              <w:autoSpaceDE w:val="0"/>
              <w:autoSpaceDN w:val="0"/>
              <w:adjustRightInd w:val="0"/>
              <w:rPr>
                <w:lang w:val="en-GB" w:eastAsia="en-GB"/>
              </w:rPr>
            </w:pP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133 mg/l/96h Oncorhynchus mykiss</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Crustacea</w:t>
            </w:r>
          </w:p>
        </w:tc>
        <w:tc>
          <w:tcPr>
            <w:tcW w:w="1134" w:type="dxa"/>
            <w:shd w:val="clear" w:color="auto" w:fill="FFFFFF"/>
          </w:tcPr>
          <w:p w:rsidR="00000000" w:rsidRDefault="00C527AA">
            <w:pPr>
              <w:widowControl w:val="0"/>
              <w:autoSpaceDE w:val="0"/>
              <w:autoSpaceDN w:val="0"/>
              <w:adjustRightInd w:val="0"/>
              <w:rPr>
                <w:lang w:val="en-GB" w:eastAsia="en-GB"/>
              </w:rPr>
            </w:pP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18,3 mg/l/48h Americamysis bahia</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Algae / Aquatic Plants</w:t>
            </w:r>
          </w:p>
        </w:tc>
        <w:tc>
          <w:tcPr>
            <w:tcW w:w="1134" w:type="dxa"/>
            <w:shd w:val="clear" w:color="auto" w:fill="FFFFFF"/>
          </w:tcPr>
          <w:p w:rsidR="00000000" w:rsidRDefault="00C527AA">
            <w:pPr>
              <w:widowControl w:val="0"/>
              <w:autoSpaceDE w:val="0"/>
              <w:autoSpaceDN w:val="0"/>
              <w:adjustRightInd w:val="0"/>
              <w:rPr>
                <w:lang w:val="en-GB" w:eastAsia="en-GB"/>
              </w:rPr>
            </w:pP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4000 mg/l/72h Chlorella vulgaris</w:t>
            </w:r>
          </w:p>
        </w:tc>
      </w:tr>
    </w:tbl>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BENZENE,1,3-DIISOCYANATO-2-METHYL-,POLYMER WITH 2,4-DIISOCYANATO-1-METHYLBENZENE</w:t>
            </w:r>
          </w:p>
        </w:tc>
        <w:tc>
          <w:tcPr>
            <w:tcW w:w="1134" w:type="dxa"/>
            <w:shd w:val="clear" w:color="auto" w:fill="FFFFFF"/>
          </w:tcPr>
          <w:p w:rsidR="00000000" w:rsidRDefault="00C527AA">
            <w:pPr>
              <w:widowControl w:val="0"/>
              <w:autoSpaceDE w:val="0"/>
              <w:autoSpaceDN w:val="0"/>
              <w:adjustRightInd w:val="0"/>
              <w:rPr>
                <w:lang w:val="en-GB" w:eastAsia="en-GB"/>
              </w:rPr>
            </w:pPr>
          </w:p>
        </w:tc>
        <w:tc>
          <w:tcPr>
            <w:tcW w:w="5670"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LC50 - for Fish</w:t>
            </w:r>
          </w:p>
        </w:tc>
        <w:tc>
          <w:tcPr>
            <w:tcW w:w="1134" w:type="dxa"/>
            <w:shd w:val="clear" w:color="auto" w:fill="FFFFFF"/>
          </w:tcPr>
          <w:p w:rsidR="00000000" w:rsidRDefault="00C527AA">
            <w:pPr>
              <w:widowControl w:val="0"/>
              <w:autoSpaceDE w:val="0"/>
              <w:autoSpaceDN w:val="0"/>
              <w:adjustRightInd w:val="0"/>
              <w:rPr>
                <w:lang w:val="en-GB" w:eastAsia="en-GB"/>
              </w:rPr>
            </w:pP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&gt; 100 mg/l/96h Danio rerio</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Crustacea</w:t>
            </w:r>
          </w:p>
        </w:tc>
        <w:tc>
          <w:tcPr>
            <w:tcW w:w="1134" w:type="dxa"/>
            <w:shd w:val="clear" w:color="auto" w:fill="FFFFFF"/>
          </w:tcPr>
          <w:p w:rsidR="00000000" w:rsidRDefault="00C527AA">
            <w:pPr>
              <w:widowControl w:val="0"/>
              <w:autoSpaceDE w:val="0"/>
              <w:autoSpaceDN w:val="0"/>
              <w:adjustRightInd w:val="0"/>
              <w:rPr>
                <w:lang w:val="en-GB" w:eastAsia="en-GB"/>
              </w:rPr>
            </w:pP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&gt; 100 mg/l/48h Daphnia</w:t>
            </w: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Algae / Aquatic Plants</w:t>
            </w:r>
          </w:p>
        </w:tc>
        <w:tc>
          <w:tcPr>
            <w:tcW w:w="1134" w:type="dxa"/>
            <w:shd w:val="clear" w:color="auto" w:fill="FFFFFF"/>
          </w:tcPr>
          <w:p w:rsidR="00000000" w:rsidRDefault="00C527AA">
            <w:pPr>
              <w:widowControl w:val="0"/>
              <w:autoSpaceDE w:val="0"/>
              <w:autoSpaceDN w:val="0"/>
              <w:adjustRightInd w:val="0"/>
              <w:rPr>
                <w:lang w:val="en-GB" w:eastAsia="en-GB"/>
              </w:rPr>
            </w:pP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&gt; 100 mg/l/72h Scenedesmus  subspicatus</w:t>
            </w:r>
          </w:p>
        </w:tc>
      </w:tr>
    </w:tbl>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M-TOLYLIDENE DIISOCYANATE</w:t>
            </w:r>
          </w:p>
        </w:tc>
        <w:tc>
          <w:tcPr>
            <w:tcW w:w="1134" w:type="dxa"/>
            <w:shd w:val="clear" w:color="auto" w:fill="FFFFFF"/>
          </w:tcPr>
          <w:p w:rsidR="00000000" w:rsidRDefault="00C527AA">
            <w:pPr>
              <w:widowControl w:val="0"/>
              <w:autoSpaceDE w:val="0"/>
              <w:autoSpaceDN w:val="0"/>
              <w:adjustRightInd w:val="0"/>
              <w:rPr>
                <w:lang w:val="en-GB" w:eastAsia="en-GB"/>
              </w:rPr>
            </w:pPr>
          </w:p>
        </w:tc>
        <w:tc>
          <w:tcPr>
            <w:tcW w:w="5670"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 in water</w:t>
            </w:r>
          </w:p>
        </w:tc>
        <w:tc>
          <w:tcPr>
            <w:tcW w:w="1134" w:type="dxa"/>
            <w:shd w:val="clear" w:color="auto" w:fill="FFFFFF"/>
          </w:tcPr>
          <w:p w:rsidR="00000000" w:rsidRDefault="00C527AA">
            <w:pPr>
              <w:widowControl w:val="0"/>
              <w:autoSpaceDE w:val="0"/>
              <w:autoSpaceDN w:val="0"/>
              <w:adjustRightInd w:val="0"/>
              <w:rPr>
                <w:lang w:val="en-GB" w:eastAsia="en-GB"/>
              </w:rPr>
            </w:pP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 xml:space="preserve">0,1 mg/l </w:t>
            </w:r>
          </w:p>
        </w:tc>
      </w:tr>
    </w:tbl>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Entirely degradable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BENZENE,1,3-DIISOCYANATO-2-METHYL-,POLYMER WITH 2,4-DIISOCYANATO-1-METHYLBENZENE</w:t>
            </w:r>
          </w:p>
        </w:tc>
        <w:tc>
          <w:tcPr>
            <w:tcW w:w="1134" w:type="dxa"/>
            <w:shd w:val="clear" w:color="auto" w:fill="FFFFFF"/>
          </w:tcPr>
          <w:p w:rsidR="00000000" w:rsidRDefault="00C527AA">
            <w:pPr>
              <w:widowControl w:val="0"/>
              <w:autoSpaceDE w:val="0"/>
              <w:autoSpaceDN w:val="0"/>
              <w:adjustRightInd w:val="0"/>
              <w:rPr>
                <w:lang w:val="en-GB" w:eastAsia="en-GB"/>
              </w:rPr>
            </w:pPr>
          </w:p>
        </w:tc>
        <w:tc>
          <w:tcPr>
            <w:tcW w:w="5670" w:type="dxa"/>
            <w:shd w:val="clear" w:color="auto" w:fill="FFFFFF"/>
          </w:tcPr>
          <w:p w:rsidR="00000000" w:rsidRDefault="00C527AA">
            <w:pPr>
              <w:widowControl w:val="0"/>
              <w:autoSpaceDE w:val="0"/>
              <w:autoSpaceDN w:val="0"/>
              <w:adjustRightInd w:val="0"/>
              <w:rPr>
                <w:lang w:val="en-GB" w:eastAsia="en-GB"/>
              </w:rPr>
            </w:pPr>
          </w:p>
        </w:tc>
      </w:tr>
    </w:tbl>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NOT rapidly degradable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M-TOLYLIDENE DIISOCYANATE</w:t>
            </w:r>
          </w:p>
        </w:tc>
        <w:tc>
          <w:tcPr>
            <w:tcW w:w="1134" w:type="dxa"/>
            <w:shd w:val="clear" w:color="auto" w:fill="FFFFFF"/>
          </w:tcPr>
          <w:p w:rsidR="00000000" w:rsidRDefault="00C527AA">
            <w:pPr>
              <w:widowControl w:val="0"/>
              <w:autoSpaceDE w:val="0"/>
              <w:autoSpaceDN w:val="0"/>
              <w:adjustRightInd w:val="0"/>
              <w:rPr>
                <w:lang w:val="en-GB" w:eastAsia="en-GB"/>
              </w:rPr>
            </w:pPr>
          </w:p>
        </w:tc>
        <w:tc>
          <w:tcPr>
            <w:tcW w:w="5670"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1134" w:type="dxa"/>
            <w:shd w:val="clear" w:color="auto" w:fill="FFFFFF"/>
          </w:tcPr>
          <w:p w:rsidR="00000000" w:rsidRDefault="00C527AA">
            <w:pPr>
              <w:widowControl w:val="0"/>
              <w:autoSpaceDE w:val="0"/>
              <w:autoSpaceDN w:val="0"/>
              <w:adjustRightInd w:val="0"/>
              <w:rPr>
                <w:lang w:val="en-GB" w:eastAsia="en-GB"/>
              </w:rPr>
            </w:pPr>
          </w:p>
        </w:tc>
        <w:tc>
          <w:tcPr>
            <w:tcW w:w="5670"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 xml:space="preserve">3,43 </w:t>
            </w:r>
          </w:p>
        </w:tc>
      </w:tr>
    </w:tbl>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w:t>
      </w:r>
      <w:r>
        <w:rPr>
          <w:rFonts w:ascii="Arial" w:hAnsi="Arial" w:cs="Arial"/>
          <w:color w:val="000000"/>
          <w:sz w:val="16"/>
          <w:szCs w:val="16"/>
          <w:lang w:val="en-GB" w:eastAsia="en-GB"/>
        </w:rPr>
        <w:t>roduct does not contain any PBT or vPvB in percentage greater than 0,1%.</w:t>
      </w: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Product residues should be consider</w:t>
      </w:r>
      <w:r>
        <w:rPr>
          <w:rFonts w:ascii="Arial" w:hAnsi="Arial" w:cs="Arial"/>
          <w:color w:val="000000"/>
          <w:sz w:val="16"/>
          <w:szCs w:val="16"/>
          <w:lang w:val="en-GB" w:eastAsia="en-GB"/>
        </w:rPr>
        <w:t>ed special hazardous waste. The hazard level of waste containing this product should be evaluated according to applicable regulations.</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Disposal must be performed through an authorised waste management firm, in compliance with national and local regulations</w:t>
      </w:r>
      <w:r>
        <w:rPr>
          <w:rFonts w:ascii="Arial" w:hAnsi="Arial" w:cs="Arial"/>
          <w:color w:val="000000"/>
          <w:sz w:val="16"/>
          <w:szCs w:val="16"/>
          <w:lang w:val="en-GB" w:eastAsia="en-GB"/>
        </w:rPr>
        <w:t>.</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packaging must be recovered or disposed of in compliance with national waste management regulations.</w:t>
      </w: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dangerous under current provisions of the Code of International Carriage of Dangerous Goods by Road (ADR) and by Rail (RID), of the International Maritime Dangerous Goods Code (IMDG), and of the International Air Transport Association (I</w:t>
      </w:r>
      <w:r>
        <w:rPr>
          <w:rFonts w:ascii="Arial" w:hAnsi="Arial" w:cs="Arial"/>
          <w:color w:val="000000"/>
          <w:sz w:val="16"/>
          <w:szCs w:val="16"/>
          <w:lang w:val="en-GB" w:eastAsia="en-GB"/>
        </w:rPr>
        <w:t>ATA) regulations.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14.4. Packing group</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w:t>
            </w:r>
            <w:r>
              <w:rPr>
                <w:rFonts w:ascii="Arial" w:hAnsi="Arial" w:cs="Arial"/>
                <w:b/>
                <w:bCs/>
                <w:color w:val="000000"/>
                <w:sz w:val="16"/>
                <w:szCs w:val="16"/>
                <w:lang w:val="en-GB" w:eastAsia="en-GB"/>
              </w:rPr>
              <w:t xml:space="preserve"> specific for the substance or mixture</w:t>
            </w: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H2</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1907/2006</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Product</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000000">
        <w:tblPrEx>
          <w:tblCellMar>
            <w:top w:w="0" w:type="dxa"/>
            <w:bottom w:w="0" w:type="dxa"/>
          </w:tblCellMar>
        </w:tblPrEx>
        <w:tc>
          <w:tcPr>
            <w:tcW w:w="2835"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Point</w:t>
            </w:r>
          </w:p>
        </w:tc>
        <w:tc>
          <w:tcPr>
            <w:tcW w:w="1701"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3</w:t>
            </w:r>
          </w:p>
        </w:tc>
        <w:tc>
          <w:tcPr>
            <w:tcW w:w="1701" w:type="dxa"/>
            <w:shd w:val="clear" w:color="auto" w:fill="FFFFFF"/>
          </w:tcPr>
          <w:p w:rsidR="00000000" w:rsidRDefault="00C527AA">
            <w:pPr>
              <w:widowControl w:val="0"/>
              <w:autoSpaceDE w:val="0"/>
              <w:autoSpaceDN w:val="0"/>
              <w:adjustRightInd w:val="0"/>
              <w:rPr>
                <w:lang w:val="en-GB" w:eastAsia="en-GB"/>
              </w:rPr>
            </w:pP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SVHC in percentage greater than 0,1%.</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Rotterdam Convention:</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Workers exposed to this chemical agent must not undergo health checks, provided that available risk-assessment data prove that the risks related to the workers' health and safety are modest and that the 98/24/EC directive is respected.</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Chemical sa</w:t>
            </w:r>
            <w:r>
              <w:rPr>
                <w:rFonts w:ascii="Arial" w:hAnsi="Arial" w:cs="Arial"/>
                <w:b/>
                <w:bCs/>
                <w:color w:val="000000"/>
                <w:sz w:val="16"/>
                <w:szCs w:val="16"/>
                <w:lang w:val="en-GB" w:eastAsia="en-GB"/>
              </w:rPr>
              <w:t>fety assessment</w:t>
            </w: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Text of hazard (H) indications mentioned in section 2-3 of the sheet:</w:t>
      </w:r>
    </w:p>
    <w:p w:rsidR="00000000" w:rsidRDefault="00C527A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Carc. 2</w:t>
            </w:r>
          </w:p>
        </w:tc>
        <w:tc>
          <w:tcPr>
            <w:tcW w:w="6237"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Carcinogenicity, category 2</w:t>
            </w:r>
          </w:p>
        </w:tc>
        <w:tc>
          <w:tcPr>
            <w:tcW w:w="850"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Acute Tox. 1</w:t>
            </w:r>
          </w:p>
        </w:tc>
        <w:tc>
          <w:tcPr>
            <w:tcW w:w="6237"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Acute toxicity, category 1</w:t>
            </w:r>
          </w:p>
        </w:tc>
        <w:tc>
          <w:tcPr>
            <w:tcW w:w="850"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Acute Tox. 3</w:t>
            </w:r>
          </w:p>
        </w:tc>
        <w:tc>
          <w:tcPr>
            <w:tcW w:w="6237"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Acute toxicity, category 3</w:t>
            </w:r>
          </w:p>
        </w:tc>
        <w:tc>
          <w:tcPr>
            <w:tcW w:w="850"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Eye Irrit. 2</w:t>
            </w:r>
          </w:p>
        </w:tc>
        <w:tc>
          <w:tcPr>
            <w:tcW w:w="6237"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Eye irritation, category 2</w:t>
            </w:r>
          </w:p>
        </w:tc>
        <w:tc>
          <w:tcPr>
            <w:tcW w:w="850"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Skin Irrit. 2</w:t>
            </w:r>
          </w:p>
        </w:tc>
        <w:tc>
          <w:tcPr>
            <w:tcW w:w="6237"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Skin irritation, category 2</w:t>
            </w:r>
          </w:p>
        </w:tc>
        <w:tc>
          <w:tcPr>
            <w:tcW w:w="850"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STOT SE 3</w:t>
            </w:r>
          </w:p>
        </w:tc>
        <w:tc>
          <w:tcPr>
            <w:tcW w:w="6237"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Specific target organ toxicity - single exposure, category 3</w:t>
            </w:r>
          </w:p>
        </w:tc>
        <w:tc>
          <w:tcPr>
            <w:tcW w:w="850"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Resp. Sens. 1</w:t>
            </w:r>
          </w:p>
        </w:tc>
        <w:tc>
          <w:tcPr>
            <w:tcW w:w="6237"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Respiratory sensitization, category 1</w:t>
            </w:r>
          </w:p>
        </w:tc>
        <w:tc>
          <w:tcPr>
            <w:tcW w:w="850"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Skin Sens. 1</w:t>
            </w:r>
          </w:p>
        </w:tc>
        <w:tc>
          <w:tcPr>
            <w:tcW w:w="6237"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Skin sensitization, category 1</w:t>
            </w:r>
          </w:p>
        </w:tc>
        <w:tc>
          <w:tcPr>
            <w:tcW w:w="850"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Aquatic Chronic 3</w:t>
            </w:r>
          </w:p>
        </w:tc>
        <w:tc>
          <w:tcPr>
            <w:tcW w:w="6237"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environment, chronic toxicity, category 3</w:t>
            </w:r>
          </w:p>
        </w:tc>
        <w:tc>
          <w:tcPr>
            <w:tcW w:w="850"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H351</w:t>
            </w:r>
          </w:p>
        </w:tc>
        <w:tc>
          <w:tcPr>
            <w:tcW w:w="6237"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Suspected of causing cancer.</w:t>
            </w:r>
          </w:p>
        </w:tc>
        <w:tc>
          <w:tcPr>
            <w:tcW w:w="850"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H330</w:t>
            </w:r>
          </w:p>
        </w:tc>
        <w:tc>
          <w:tcPr>
            <w:tcW w:w="6237"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Fatal if inhaled.</w:t>
            </w:r>
          </w:p>
        </w:tc>
        <w:tc>
          <w:tcPr>
            <w:tcW w:w="850"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H331</w:t>
            </w:r>
          </w:p>
        </w:tc>
        <w:tc>
          <w:tcPr>
            <w:tcW w:w="6237"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Toxic if inhaled.</w:t>
            </w:r>
          </w:p>
        </w:tc>
        <w:tc>
          <w:tcPr>
            <w:tcW w:w="850"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H319</w:t>
            </w:r>
          </w:p>
        </w:tc>
        <w:tc>
          <w:tcPr>
            <w:tcW w:w="6237"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Causes serious eye irritation.</w:t>
            </w:r>
          </w:p>
        </w:tc>
        <w:tc>
          <w:tcPr>
            <w:tcW w:w="850"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H315</w:t>
            </w:r>
          </w:p>
        </w:tc>
        <w:tc>
          <w:tcPr>
            <w:tcW w:w="6237"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Causes skin irritation.</w:t>
            </w:r>
          </w:p>
        </w:tc>
        <w:tc>
          <w:tcPr>
            <w:tcW w:w="850"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H335</w:t>
            </w:r>
          </w:p>
        </w:tc>
        <w:tc>
          <w:tcPr>
            <w:tcW w:w="6237"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May cause respiratory irritation.</w:t>
            </w:r>
          </w:p>
        </w:tc>
        <w:tc>
          <w:tcPr>
            <w:tcW w:w="850"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H334</w:t>
            </w:r>
          </w:p>
        </w:tc>
        <w:tc>
          <w:tcPr>
            <w:tcW w:w="6237"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May cause allergy or asthma symptoms or breathing difficulties if inhaled.</w:t>
            </w:r>
          </w:p>
        </w:tc>
        <w:tc>
          <w:tcPr>
            <w:tcW w:w="850"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H317</w:t>
            </w:r>
          </w:p>
        </w:tc>
        <w:tc>
          <w:tcPr>
            <w:tcW w:w="6237"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May cause an allergic skin reaction.</w:t>
            </w:r>
          </w:p>
        </w:tc>
        <w:tc>
          <w:tcPr>
            <w:tcW w:w="850"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H412</w:t>
            </w:r>
          </w:p>
        </w:tc>
        <w:tc>
          <w:tcPr>
            <w:tcW w:w="6237"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Harmful to aquatic life with long lasting effects.</w:t>
            </w:r>
          </w:p>
        </w:tc>
        <w:tc>
          <w:tcPr>
            <w:tcW w:w="850" w:type="dxa"/>
            <w:shd w:val="clear" w:color="auto" w:fill="FFFFFF"/>
          </w:tcPr>
          <w:p w:rsidR="00000000" w:rsidRDefault="00C527A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C527A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EUH204</w:t>
            </w:r>
          </w:p>
        </w:tc>
        <w:tc>
          <w:tcPr>
            <w:tcW w:w="6237" w:type="dxa"/>
            <w:shd w:val="clear" w:color="auto" w:fill="FFFFFF"/>
          </w:tcPr>
          <w:p w:rsidR="00000000" w:rsidRDefault="00C527AA">
            <w:pPr>
              <w:widowControl w:val="0"/>
              <w:autoSpaceDE w:val="0"/>
              <w:autoSpaceDN w:val="0"/>
              <w:adjustRightInd w:val="0"/>
              <w:rPr>
                <w:lang w:val="en-GB" w:eastAsia="en-GB"/>
              </w:rPr>
            </w:pPr>
            <w:r>
              <w:rPr>
                <w:rFonts w:ascii="Arial" w:hAnsi="Arial" w:cs="Arial"/>
                <w:color w:val="000000"/>
                <w:sz w:val="16"/>
                <w:szCs w:val="16"/>
                <w:lang w:val="en-GB" w:eastAsia="en-GB"/>
              </w:rPr>
              <w:t>Contains isocyanates. May produce an allergic reaction.</w:t>
            </w:r>
          </w:p>
        </w:tc>
        <w:tc>
          <w:tcPr>
            <w:tcW w:w="850" w:type="dxa"/>
            <w:shd w:val="clear" w:color="auto" w:fill="FFFFFF"/>
          </w:tcPr>
          <w:p w:rsidR="00000000" w:rsidRDefault="00C527AA">
            <w:pPr>
              <w:widowControl w:val="0"/>
              <w:autoSpaceDE w:val="0"/>
              <w:autoSpaceDN w:val="0"/>
              <w:adjustRightInd w:val="0"/>
              <w:rPr>
                <w:lang w:val="en-GB" w:eastAsia="en-GB"/>
              </w:rPr>
            </w:pPr>
          </w:p>
        </w:tc>
      </w:tr>
    </w:tbl>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concerning the carriage of Dangerous goods by Road</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substances)</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w:t>
      </w:r>
      <w:r>
        <w:rPr>
          <w:rFonts w:ascii="Arial" w:hAnsi="Arial" w:cs="Arial"/>
          <w:color w:val="000000"/>
          <w:sz w:val="16"/>
          <w:szCs w:val="16"/>
          <w:lang w:val="en-GB" w:eastAsia="en-GB"/>
        </w:rPr>
        <w:t>: Emergency Schedule</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International Air Transport Association Dangerous Goods Regulation</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IMDG: International Maritime Code </w:t>
      </w:r>
      <w:r>
        <w:rPr>
          <w:rFonts w:ascii="Arial" w:hAnsi="Arial" w:cs="Arial"/>
          <w:color w:val="000000"/>
          <w:sz w:val="16"/>
          <w:szCs w:val="16"/>
          <w:lang w:val="en-GB" w:eastAsia="en-GB"/>
        </w:rPr>
        <w:t>for dangerous goods</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LC50: Lethal Concentration 50%</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Occupational Exposure Level</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PBT: Persistent bioaccumulative and toxic as REACH Re</w:t>
      </w:r>
      <w:r>
        <w:rPr>
          <w:rFonts w:ascii="Arial" w:hAnsi="Arial" w:cs="Arial"/>
          <w:color w:val="000000"/>
          <w:sz w:val="16"/>
          <w:szCs w:val="16"/>
          <w:lang w:val="en-GB" w:eastAsia="en-GB"/>
        </w:rPr>
        <w:t xml:space="preserve">gulation </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 PEL: Predicted exposure level</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 concentration</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Regulation concerning the international transport of dangerous goods by train</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w:t>
      </w:r>
      <w:r>
        <w:rPr>
          <w:rFonts w:ascii="Arial" w:hAnsi="Arial" w:cs="Arial"/>
          <w:color w:val="000000"/>
          <w:sz w:val="16"/>
          <w:szCs w:val="16"/>
          <w:lang w:val="en-GB" w:eastAsia="en-GB"/>
        </w:rPr>
        <w:t>hreshold Limit Value</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exposure.</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 average exposure limit</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w:t>
      </w:r>
      <w:r>
        <w:rPr>
          <w:rFonts w:ascii="Arial" w:hAnsi="Arial" w:cs="Arial"/>
          <w:color w:val="000000"/>
          <w:sz w:val="16"/>
          <w:szCs w:val="16"/>
          <w:lang w:val="en-GB" w:eastAsia="en-GB"/>
        </w:rPr>
        <w:t>ent and very Bioaccumulative as for REACH Regulation</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CLP) of the European Parliament</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European Parliament</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w:t>
      </w:r>
      <w:r>
        <w:rPr>
          <w:rFonts w:ascii="Arial" w:hAnsi="Arial" w:cs="Arial"/>
          <w:color w:val="000000"/>
          <w:sz w:val="16"/>
          <w:szCs w:val="16"/>
          <w:lang w:val="en-GB" w:eastAsia="en-GB"/>
        </w:rPr>
        <w:t>ament</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 Atp. CLP) of the European Parliament</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European Parliament</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9. Regulation (EU) 605/2014 (VI Atp. CLP) of the European Parliament</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w:t>
      </w:r>
      <w:r>
        <w:rPr>
          <w:rFonts w:ascii="Arial" w:hAnsi="Arial" w:cs="Arial"/>
          <w:color w:val="000000"/>
          <w:sz w:val="16"/>
          <w:szCs w:val="16"/>
          <w:lang w:val="en-GB" w:eastAsia="en-GB"/>
        </w:rPr>
        <w:t xml:space="preserve"> of the European Parliament</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Regulation (EU) 2016/918 (VIII Atp. CLP) of the European Parliament</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2016/1179 (IX Atp. CLP)</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13. Regulation (EU) 2017/776 (X Atp. CLP)</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The Merck Index. - 10th Edition</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INRS - </w:t>
      </w:r>
      <w:r>
        <w:rPr>
          <w:rFonts w:ascii="Arial" w:hAnsi="Arial" w:cs="Arial"/>
          <w:color w:val="000000"/>
          <w:sz w:val="16"/>
          <w:szCs w:val="16"/>
          <w:lang w:val="en-GB" w:eastAsia="en-GB"/>
        </w:rPr>
        <w:t>Fiche Toxicologique (toxicological sheet)</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Materials-7, 1989 Edition</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website</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Database of SDS models for chemicals - Ministry of Health </w:t>
      </w:r>
      <w:r>
        <w:rPr>
          <w:rFonts w:ascii="Arial" w:hAnsi="Arial" w:cs="Arial"/>
          <w:color w:val="000000"/>
          <w:sz w:val="16"/>
          <w:szCs w:val="16"/>
          <w:lang w:val="en-GB" w:eastAsia="en-GB"/>
        </w:rPr>
        <w:t>and ISS (Istituto Superiore di Sanità) - Italy</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information contained in the present sheet are based on our own knowledge on the date of the last version. Users must verify the suitability and thoroughness of provided information accordi</w:t>
      </w:r>
      <w:r>
        <w:rPr>
          <w:rFonts w:ascii="Arial" w:hAnsi="Arial" w:cs="Arial"/>
          <w:color w:val="000000"/>
          <w:sz w:val="16"/>
          <w:szCs w:val="16"/>
          <w:lang w:val="en-GB" w:eastAsia="en-GB"/>
        </w:rPr>
        <w:t>ng to each specific use of the product.</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therefore, users must, under their own responsibility, comply with the</w:t>
      </w:r>
      <w:r>
        <w:rPr>
          <w:rFonts w:ascii="Arial" w:hAnsi="Arial" w:cs="Arial"/>
          <w:color w:val="000000"/>
          <w:sz w:val="16"/>
          <w:szCs w:val="16"/>
          <w:lang w:val="en-GB" w:eastAsia="en-GB"/>
        </w:rPr>
        <w:t xml:space="preserve"> current health and safety laws and regulations. The producer is relieved from any liability arising from improper uses.</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appointed staff with adequate training on how to use chemical products.</w:t>
      </w:r>
    </w:p>
    <w:p w:rsidR="00000000" w:rsidRDefault="00C527AA">
      <w:pPr>
        <w:widowControl w:val="0"/>
        <w:autoSpaceDE w:val="0"/>
        <w:autoSpaceDN w:val="0"/>
        <w:adjustRightInd w:val="0"/>
        <w:jc w:val="both"/>
        <w:rPr>
          <w:lang w:val="en-GB" w:eastAsia="en-GB"/>
        </w:rPr>
      </w:pP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modified:</w:t>
      </w:r>
    </w:p>
    <w:p w:rsidR="00000000" w:rsidRDefault="00C527A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02 / 03 / 04 / 08 / 09 / 10 / 11 / 12 / 16.</w:t>
      </w:r>
    </w:p>
    <w:sectPr w:rsidR="00000000">
      <w:headerReference w:type="default" r:id="rId8"/>
      <w:footerReference w:type="default" r:id="rId9"/>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527AA">
      <w:r>
        <w:separator/>
      </w:r>
    </w:p>
  </w:endnote>
  <w:endnote w:type="continuationSeparator" w:id="0">
    <w:p w:rsidR="00000000" w:rsidRDefault="00C5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527AA">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8B9C7"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527AA">
      <w:r>
        <w:separator/>
      </w:r>
    </w:p>
  </w:footnote>
  <w:footnote w:type="continuationSeparator" w:id="0">
    <w:p w:rsidR="00000000" w:rsidRDefault="00C52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C527AA">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C527AA">
          <w:pPr>
            <w:autoSpaceDE w:val="0"/>
            <w:autoSpaceDN w:val="0"/>
            <w:adjustRightInd w:val="0"/>
            <w:rPr>
              <w:lang w:val="en-GB" w:eastAsia="en-GB"/>
            </w:rPr>
          </w:pPr>
          <w:r>
            <w:rPr>
              <w:rFonts w:ascii="Arial" w:hAnsi="Arial" w:cs="Arial"/>
              <w:color w:val="000000"/>
              <w:sz w:val="12"/>
              <w:szCs w:val="12"/>
              <w:lang w:val="en-GB" w:eastAsia="en-GB"/>
            </w:rPr>
            <w:t>Revision nr. 7</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C527AA">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000000" w:rsidRDefault="00C527AA">
          <w:pPr>
            <w:autoSpaceDE w:val="0"/>
            <w:autoSpaceDN w:val="0"/>
            <w:adjustRightInd w:val="0"/>
            <w:rPr>
              <w:lang w:val="en-GB" w:eastAsia="en-GB"/>
            </w:rPr>
          </w:pPr>
          <w:r>
            <w:rPr>
              <w:rFonts w:ascii="Arial" w:hAnsi="Arial" w:cs="Arial"/>
              <w:color w:val="000000"/>
              <w:sz w:val="12"/>
              <w:szCs w:val="12"/>
              <w:lang w:val="en-GB" w:eastAsia="en-GB"/>
            </w:rPr>
            <w:t>Dated 30/01/2018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C527AA">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PLAST FIBER BOND PHTALATE FREE</w:t>
          </w:r>
        </w:p>
      </w:tc>
      <w:tc>
        <w:tcPr>
          <w:tcW w:w="2721" w:type="dxa"/>
          <w:tcBorders>
            <w:left w:val="single" w:sz="6" w:space="0" w:color="auto"/>
            <w:right w:val="single" w:sz="6" w:space="0" w:color="auto"/>
          </w:tcBorders>
          <w:shd w:val="clear" w:color="auto" w:fill="FFFFFF"/>
        </w:tcPr>
        <w:p w:rsidR="00000000" w:rsidRDefault="00C527AA">
          <w:pPr>
            <w:autoSpaceDE w:val="0"/>
            <w:autoSpaceDN w:val="0"/>
            <w:adjustRightInd w:val="0"/>
            <w:rPr>
              <w:lang w:val="en-GB" w:eastAsia="en-GB"/>
            </w:rPr>
          </w:pPr>
          <w:r>
            <w:rPr>
              <w:rFonts w:ascii="Arial" w:hAnsi="Arial" w:cs="Arial"/>
              <w:color w:val="000000"/>
              <w:sz w:val="12"/>
              <w:szCs w:val="12"/>
              <w:lang w:val="en-GB" w:eastAsia="en-GB"/>
            </w:rPr>
            <w:t>Printed on 08/03/2018</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C527AA">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C527AA">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000000" w:rsidRDefault="00C527AA">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BBB31"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81F7D"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AA"/>
    <w:rsid w:val="00171DD7"/>
    <w:rsid w:val="002000E3"/>
    <w:rsid w:val="002B4F1F"/>
    <w:rsid w:val="0039723C"/>
    <w:rsid w:val="007F2EBE"/>
    <w:rsid w:val="00884218"/>
    <w:rsid w:val="008D6CBD"/>
    <w:rsid w:val="00B36F51"/>
    <w:rsid w:val="00C164B5"/>
    <w:rsid w:val="00C17118"/>
    <w:rsid w:val="00C527AA"/>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C966FCC4-58B0-4754-85B7-162A06AF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8D0954AD.dotm</Template>
  <TotalTime>1</TotalTime>
  <Pages>12</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dcterms:created xsi:type="dcterms:W3CDTF">2018-04-12T12:28:00Z</dcterms:created>
  <dcterms:modified xsi:type="dcterms:W3CDTF">2018-04-12T12:28:00Z</dcterms:modified>
</cp:coreProperties>
</file>