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56" w:rsidRDefault="00773456">
      <w:pPr>
        <w:widowControl w:val="0"/>
        <w:autoSpaceDE w:val="0"/>
        <w:autoSpaceDN w:val="0"/>
        <w:adjustRightInd w:val="0"/>
        <w:rPr>
          <w:lang w:val="en-GB" w:eastAsia="en-GB"/>
        </w:rPr>
      </w:pPr>
      <w:bookmarkStart w:id="0" w:name="_GoBack"/>
      <w:bookmarkEnd w:id="0"/>
    </w:p>
    <w:p w:rsidR="00773456" w:rsidRDefault="00773456">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773456" w:rsidRDefault="0077345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773456" w:rsidRDefault="0077345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773456">
        <w:tblPrEx>
          <w:tblCellMar>
            <w:top w:w="0" w:type="dxa"/>
            <w:bottom w:w="0" w:type="dxa"/>
          </w:tblCellMar>
        </w:tblPrEx>
        <w:tc>
          <w:tcPr>
            <w:tcW w:w="10773" w:type="dxa"/>
            <w:gridSpan w:val="2"/>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r w:rsidR="000A36B5">
              <w:rPr>
                <w:rFonts w:ascii="Arial" w:hAnsi="Arial" w:cs="Arial"/>
                <w:b/>
                <w:bCs/>
                <w:color w:val="000000"/>
                <w:sz w:val="16"/>
                <w:szCs w:val="16"/>
                <w:lang w:val="en-GB" w:eastAsia="en-GB"/>
              </w:rPr>
              <w:t xml:space="preserve">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AM100611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DISCHARGE CORRODENTE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773456" w:rsidRDefault="00773456">
            <w:pPr>
              <w:widowControl w:val="0"/>
              <w:autoSpaceDE w:val="0"/>
              <w:autoSpaceDN w:val="0"/>
              <w:adjustRightInd w:val="0"/>
              <w:jc w:val="center"/>
              <w:rPr>
                <w:lang w:val="en-GB" w:eastAsia="en-GB"/>
              </w:rPr>
            </w:pPr>
          </w:p>
        </w:tc>
      </w:tr>
    </w:tbl>
    <w:p w:rsidR="00773456" w:rsidRDefault="0077345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773456">
        <w:tblPrEx>
          <w:tblCellMar>
            <w:top w:w="0" w:type="dxa"/>
            <w:bottom w:w="0" w:type="dxa"/>
          </w:tblCellMar>
        </w:tblPrEx>
        <w:tc>
          <w:tcPr>
            <w:tcW w:w="10773" w:type="dxa"/>
            <w:gridSpan w:val="2"/>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773456">
        <w:tblPrEx>
          <w:tblCellMar>
            <w:top w:w="0" w:type="dxa"/>
            <w:bottom w:w="0" w:type="dxa"/>
          </w:tblCellMar>
        </w:tblPrEx>
        <w:tc>
          <w:tcPr>
            <w:tcW w:w="2268"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ausiliario per stampa tessile</w:t>
            </w:r>
          </w:p>
        </w:tc>
      </w:tr>
    </w:tbl>
    <w:p w:rsidR="00773456" w:rsidRDefault="00773456">
      <w:pPr>
        <w:widowControl w:val="0"/>
        <w:autoSpaceDE w:val="0"/>
        <w:autoSpaceDN w:val="0"/>
        <w:adjustRightInd w:val="0"/>
        <w:jc w:val="center"/>
        <w:rPr>
          <w:lang w:val="en-GB" w:eastAsia="en-GB"/>
        </w:rPr>
      </w:pPr>
    </w:p>
    <w:p w:rsidR="00773456" w:rsidRDefault="0077345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773456">
        <w:tblPrEx>
          <w:tblCellMar>
            <w:top w:w="0" w:type="dxa"/>
            <w:bottom w:w="0" w:type="dxa"/>
          </w:tblCellMar>
        </w:tblPrEx>
        <w:tc>
          <w:tcPr>
            <w:tcW w:w="10773" w:type="dxa"/>
            <w:gridSpan w:val="2"/>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773456" w:rsidRDefault="00773456">
            <w:pPr>
              <w:widowControl w:val="0"/>
              <w:autoSpaceDE w:val="0"/>
              <w:autoSpaceDN w:val="0"/>
              <w:adjustRightInd w:val="0"/>
              <w:jc w:val="center"/>
              <w:rPr>
                <w:lang w:val="en-GB" w:eastAsia="en-GB"/>
              </w:rPr>
            </w:pPr>
          </w:p>
        </w:tc>
      </w:tr>
    </w:tbl>
    <w:p w:rsidR="00773456" w:rsidRDefault="0077345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773456">
        <w:tblPrEx>
          <w:tblCellMar>
            <w:top w:w="0" w:type="dxa"/>
            <w:bottom w:w="0" w:type="dxa"/>
          </w:tblCellMar>
        </w:tblPrEx>
        <w:tc>
          <w:tcPr>
            <w:tcW w:w="10773" w:type="dxa"/>
            <w:gridSpan w:val="2"/>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773456">
        <w:tblPrEx>
          <w:tblCellMar>
            <w:top w:w="0" w:type="dxa"/>
            <w:bottom w:w="0" w:type="dxa"/>
          </w:tblCellMar>
        </w:tblPrEx>
        <w:tc>
          <w:tcPr>
            <w:tcW w:w="3969"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773456" w:rsidRDefault="00773456">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773456" w:rsidRDefault="00773456">
      <w:pPr>
        <w:widowControl w:val="0"/>
        <w:autoSpaceDE w:val="0"/>
        <w:autoSpaceDN w:val="0"/>
        <w:adjustRightInd w:val="0"/>
        <w:jc w:val="center"/>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thus requires a safety datasheet that complies with the provisions of (EU) Regulation 2015/830.</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773456">
        <w:tblPrEx>
          <w:tblCellMar>
            <w:top w:w="0" w:type="dxa"/>
            <w:bottom w:w="0" w:type="dxa"/>
          </w:tblCellMar>
        </w:tblPrEx>
        <w:tc>
          <w:tcPr>
            <w:tcW w:w="4536"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Germ cell mutagenicity, category 2</w:t>
            </w:r>
          </w:p>
        </w:tc>
        <w:tc>
          <w:tcPr>
            <w:tcW w:w="1701"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H341</w:t>
            </w:r>
          </w:p>
        </w:tc>
        <w:tc>
          <w:tcPr>
            <w:tcW w:w="4536"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Suspected of causing genetic defects.</w:t>
            </w:r>
          </w:p>
        </w:tc>
      </w:tr>
      <w:tr w:rsidR="00773456">
        <w:tblPrEx>
          <w:tblCellMar>
            <w:top w:w="0" w:type="dxa"/>
            <w:bottom w:w="0" w:type="dxa"/>
          </w:tblCellMar>
        </w:tblPrEx>
        <w:tc>
          <w:tcPr>
            <w:tcW w:w="4536"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Acute toxicity, category 4</w:t>
            </w:r>
          </w:p>
        </w:tc>
        <w:tc>
          <w:tcPr>
            <w:tcW w:w="1701"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H302</w:t>
            </w:r>
          </w:p>
        </w:tc>
        <w:tc>
          <w:tcPr>
            <w:tcW w:w="4536"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r>
      <w:tr w:rsidR="00773456">
        <w:tblPrEx>
          <w:tblCellMar>
            <w:top w:w="0" w:type="dxa"/>
            <w:bottom w:w="0" w:type="dxa"/>
          </w:tblCellMar>
        </w:tblPrEx>
        <w:tc>
          <w:tcPr>
            <w:tcW w:w="4536"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Eye irritation, category 2</w:t>
            </w:r>
          </w:p>
        </w:tc>
        <w:tc>
          <w:tcPr>
            <w:tcW w:w="1701"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H319</w:t>
            </w:r>
          </w:p>
        </w:tc>
        <w:tc>
          <w:tcPr>
            <w:tcW w:w="4536"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773456">
        <w:tblPrEx>
          <w:tblCellMar>
            <w:top w:w="0" w:type="dxa"/>
            <w:bottom w:w="0" w:type="dxa"/>
          </w:tblCellMar>
        </w:tblPrEx>
        <w:tc>
          <w:tcPr>
            <w:tcW w:w="4536"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Hazardous to the aquatic environment, chronic toxicity, category 3</w:t>
            </w:r>
          </w:p>
        </w:tc>
        <w:tc>
          <w:tcPr>
            <w:tcW w:w="1701"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H412</w:t>
            </w:r>
          </w:p>
        </w:tc>
        <w:tc>
          <w:tcPr>
            <w:tcW w:w="4536"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r>
      <w:tr w:rsidR="00773456">
        <w:tblPrEx>
          <w:tblCellMar>
            <w:top w:w="0" w:type="dxa"/>
            <w:bottom w:w="0" w:type="dxa"/>
          </w:tblCellMar>
        </w:tblPrEx>
        <w:tc>
          <w:tcPr>
            <w:tcW w:w="4536" w:type="dxa"/>
            <w:shd w:val="clear" w:color="auto" w:fill="FFFFFF"/>
          </w:tcPr>
          <w:p w:rsidR="00773456" w:rsidRDefault="00773456">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773456" w:rsidRDefault="00773456">
            <w:pPr>
              <w:widowControl w:val="0"/>
              <w:autoSpaceDE w:val="0"/>
              <w:autoSpaceDN w:val="0"/>
              <w:adjustRightInd w:val="0"/>
              <w:jc w:val="both"/>
              <w:rPr>
                <w:lang w:val="en-GB" w:eastAsia="en-GB"/>
              </w:rPr>
            </w:pPr>
          </w:p>
        </w:tc>
        <w:tc>
          <w:tcPr>
            <w:tcW w:w="4536" w:type="dxa"/>
            <w:shd w:val="clear" w:color="auto" w:fill="FFFFFF"/>
          </w:tcPr>
          <w:p w:rsidR="00773456" w:rsidRDefault="00773456">
            <w:pPr>
              <w:widowControl w:val="0"/>
              <w:autoSpaceDE w:val="0"/>
              <w:autoSpaceDN w:val="0"/>
              <w:adjustRightInd w:val="0"/>
              <w:jc w:val="both"/>
              <w:rPr>
                <w:lang w:val="en-GB" w:eastAsia="en-GB"/>
              </w:rPr>
            </w:pP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773456">
        <w:tblPrEx>
          <w:tblCellMar>
            <w:top w:w="0" w:type="dxa"/>
            <w:bottom w:w="0" w:type="dxa"/>
          </w:tblCellMar>
        </w:tblPrEx>
        <w:tc>
          <w:tcPr>
            <w:tcW w:w="1984" w:type="dxa"/>
            <w:gridSpan w:val="2"/>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rPr>
          <w:gridAfter w:val="1"/>
          <w:wAfter w:w="853" w:type="dxa"/>
        </w:trPr>
        <w:tc>
          <w:tcPr>
            <w:tcW w:w="1417" w:type="dxa"/>
            <w:shd w:val="clear" w:color="auto" w:fill="FFFFFF"/>
          </w:tcPr>
          <w:p w:rsidR="00773456" w:rsidRDefault="00773456">
            <w:pPr>
              <w:widowControl w:val="0"/>
              <w:autoSpaceDE w:val="0"/>
              <w:autoSpaceDN w:val="0"/>
              <w:adjustRightInd w:val="0"/>
              <w:jc w:val="both"/>
              <w:rPr>
                <w:lang w:val="en-GB" w:eastAsia="en-GB"/>
              </w:rPr>
            </w:pPr>
            <w:r>
              <w:rPr>
                <w:lang w:val="en-GB" w:eastAsia="en-GB"/>
              </w:rPr>
              <w:t xml:space="preserve"> </w:t>
            </w:r>
            <w:r w:rsidR="009A01B2">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5D35"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tXP2ahQCAAAx&#10;BAAADgAAAAAAAAAAAAAAAAAuAgAAZHJzL2Uyb0RvYy54bWxQSwECLQAUAAYACAAAACEAM1RZsdUA&#10;AAD/AAAADwAAAAAAAAAAAAAAAABuBAAAZHJzL2Rvd25yZXYueG1sUEsFBgAAAAAEAAQA8wAAAHAF&#10;AAAAAA==&#10;" o:allowincell="f">
                      <w10:wrap anchorx="margin" anchory="margin"/>
                    </v:rect>
                  </w:pict>
                </mc:Fallback>
              </mc:AlternateContent>
            </w:r>
            <w:r w:rsidR="009A01B2">
              <w:rPr>
                <w:noProof/>
                <w:lang w:val="en-GB" w:eastAsia="en-GB"/>
              </w:rPr>
              <w:drawing>
                <wp:inline distT="0" distB="0" distL="0" distR="0">
                  <wp:extent cx="647700"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773456" w:rsidRDefault="009A01B2">
            <w:pPr>
              <w:widowControl w:val="0"/>
              <w:autoSpaceDE w:val="0"/>
              <w:autoSpaceDN w:val="0"/>
              <w:adjustRightInd w:val="0"/>
              <w:jc w:val="both"/>
              <w:rPr>
                <w:lang w:val="en-GB" w:eastAsia="en-GB"/>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677AB"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Aa3vRRQCAAAx&#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773456" w:rsidRDefault="00773456">
            <w:pPr>
              <w:widowControl w:val="0"/>
              <w:autoSpaceDE w:val="0"/>
              <w:autoSpaceDN w:val="0"/>
              <w:adjustRightInd w:val="0"/>
              <w:jc w:val="both"/>
              <w:rPr>
                <w:lang w:val="en-GB" w:eastAsia="en-GB"/>
              </w:rPr>
            </w:pPr>
          </w:p>
        </w:tc>
        <w:tc>
          <w:tcPr>
            <w:tcW w:w="1417" w:type="dxa"/>
            <w:shd w:val="clear" w:color="auto" w:fill="FFFFFF"/>
          </w:tcPr>
          <w:p w:rsidR="00773456" w:rsidRDefault="00773456">
            <w:pPr>
              <w:widowControl w:val="0"/>
              <w:autoSpaceDE w:val="0"/>
              <w:autoSpaceDN w:val="0"/>
              <w:adjustRightInd w:val="0"/>
              <w:jc w:val="both"/>
              <w:rPr>
                <w:lang w:val="en-GB" w:eastAsia="en-GB"/>
              </w:rPr>
            </w:pPr>
          </w:p>
        </w:tc>
        <w:tc>
          <w:tcPr>
            <w:tcW w:w="1417" w:type="dxa"/>
            <w:shd w:val="clear" w:color="auto" w:fill="FFFFFF"/>
          </w:tcPr>
          <w:p w:rsidR="00773456" w:rsidRDefault="00773456">
            <w:pPr>
              <w:widowControl w:val="0"/>
              <w:autoSpaceDE w:val="0"/>
              <w:autoSpaceDN w:val="0"/>
              <w:adjustRightInd w:val="0"/>
              <w:jc w:val="both"/>
              <w:rPr>
                <w:lang w:val="en-GB" w:eastAsia="en-GB"/>
              </w:rPr>
            </w:pPr>
          </w:p>
        </w:tc>
        <w:tc>
          <w:tcPr>
            <w:tcW w:w="1417" w:type="dxa"/>
            <w:shd w:val="clear" w:color="auto" w:fill="FFFFFF"/>
          </w:tcPr>
          <w:p w:rsidR="00773456" w:rsidRDefault="00773456">
            <w:pPr>
              <w:widowControl w:val="0"/>
              <w:autoSpaceDE w:val="0"/>
              <w:autoSpaceDN w:val="0"/>
              <w:adjustRightInd w:val="0"/>
              <w:jc w:val="both"/>
              <w:rPr>
                <w:lang w:val="en-GB" w:eastAsia="en-GB"/>
              </w:rPr>
            </w:pPr>
          </w:p>
        </w:tc>
        <w:tc>
          <w:tcPr>
            <w:tcW w:w="1417" w:type="dxa"/>
            <w:shd w:val="clear" w:color="auto" w:fill="FFFFFF"/>
          </w:tcPr>
          <w:p w:rsidR="00773456" w:rsidRDefault="00773456">
            <w:pPr>
              <w:widowControl w:val="0"/>
              <w:autoSpaceDE w:val="0"/>
              <w:autoSpaceDN w:val="0"/>
              <w:adjustRightInd w:val="0"/>
              <w:jc w:val="both"/>
              <w:rPr>
                <w:lang w:val="en-GB" w:eastAsia="en-GB"/>
              </w:rPr>
            </w:pP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Warning</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H341</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Suspected of causing genetic defects.</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H302</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H319</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H412</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EUH032</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Contact with acids liberates very toxic gas.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P201</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Obtain special instructions before use.</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P202</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Do not handle until all safety precautions have been read and understood.</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P264</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Wash thoroughly after handling.</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protective clothing / eye protection / face protection.</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P308+P313</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IF exposed or concerned: Get medical advice / attention.</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P337+P313</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If eye irritation persists: Get medical advice / attention.</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P273</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Avoid release to the environment.</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P391</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Collect spillage.</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P405</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Store locked up.</w:t>
            </w: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773456" w:rsidRDefault="00773456">
            <w:pPr>
              <w:widowControl w:val="0"/>
              <w:autoSpaceDE w:val="0"/>
              <w:autoSpaceDN w:val="0"/>
              <w:adjustRightInd w:val="0"/>
              <w:jc w:val="both"/>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ZINCO FORMALDEIDE SOLFOSSILATO</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773456">
        <w:tblPrEx>
          <w:tblCellMar>
            <w:top w:w="0" w:type="dxa"/>
            <w:bottom w:w="0" w:type="dxa"/>
          </w:tblCellMar>
        </w:tblPrEx>
        <w:tc>
          <w:tcPr>
            <w:tcW w:w="2835"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2835"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ZINCO FORMALDEIDE SOLFOSSILATO</w:t>
            </w:r>
          </w:p>
        </w:tc>
        <w:tc>
          <w:tcPr>
            <w:tcW w:w="1417" w:type="dxa"/>
            <w:shd w:val="clear" w:color="auto" w:fill="FFFFFF"/>
          </w:tcPr>
          <w:p w:rsidR="00773456" w:rsidRDefault="00773456">
            <w:pPr>
              <w:widowControl w:val="0"/>
              <w:autoSpaceDE w:val="0"/>
              <w:autoSpaceDN w:val="0"/>
              <w:adjustRightInd w:val="0"/>
              <w:rPr>
                <w:lang w:val="en-GB" w:eastAsia="en-GB"/>
              </w:rPr>
            </w:pPr>
          </w:p>
        </w:tc>
        <w:tc>
          <w:tcPr>
            <w:tcW w:w="5670" w:type="dxa"/>
            <w:shd w:val="clear" w:color="auto" w:fill="FFFFFF"/>
          </w:tcPr>
          <w:p w:rsidR="00773456" w:rsidRDefault="00773456">
            <w:pPr>
              <w:widowControl w:val="0"/>
              <w:autoSpaceDE w:val="0"/>
              <w:autoSpaceDN w:val="0"/>
              <w:adjustRightInd w:val="0"/>
              <w:rPr>
                <w:lang w:val="en-GB" w:eastAsia="en-GB"/>
              </w:rPr>
            </w:pPr>
          </w:p>
        </w:tc>
        <w:tc>
          <w:tcPr>
            <w:tcW w:w="567"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2835"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24887-06-7</w:t>
            </w:r>
          </w:p>
        </w:tc>
        <w:tc>
          <w:tcPr>
            <w:tcW w:w="141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50 ≤ x &lt;  100</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Muta. 2 H341, Acute Tox. 4 H302, Eye Irrit. 2 H319, Aquatic Chronic 3 H412, EUH032</w:t>
            </w:r>
          </w:p>
        </w:tc>
        <w:tc>
          <w:tcPr>
            <w:tcW w:w="567"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2835"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246-515-6</w:t>
            </w:r>
          </w:p>
        </w:tc>
        <w:tc>
          <w:tcPr>
            <w:tcW w:w="1417" w:type="dxa"/>
            <w:shd w:val="clear" w:color="auto" w:fill="FFFFFF"/>
          </w:tcPr>
          <w:p w:rsidR="00773456" w:rsidRDefault="00773456">
            <w:pPr>
              <w:widowControl w:val="0"/>
              <w:autoSpaceDE w:val="0"/>
              <w:autoSpaceDN w:val="0"/>
              <w:adjustRightInd w:val="0"/>
              <w:rPr>
                <w:lang w:val="en-GB" w:eastAsia="en-GB"/>
              </w:rPr>
            </w:pPr>
          </w:p>
        </w:tc>
        <w:tc>
          <w:tcPr>
            <w:tcW w:w="5670" w:type="dxa"/>
            <w:shd w:val="clear" w:color="auto" w:fill="FFFFFF"/>
          </w:tcPr>
          <w:p w:rsidR="00773456" w:rsidRDefault="00773456">
            <w:pPr>
              <w:widowControl w:val="0"/>
              <w:autoSpaceDE w:val="0"/>
              <w:autoSpaceDN w:val="0"/>
              <w:adjustRightInd w:val="0"/>
              <w:rPr>
                <w:lang w:val="en-GB" w:eastAsia="en-GB"/>
              </w:rPr>
            </w:pPr>
          </w:p>
        </w:tc>
        <w:tc>
          <w:tcPr>
            <w:tcW w:w="567"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2835"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773456" w:rsidRDefault="00773456">
            <w:pPr>
              <w:widowControl w:val="0"/>
              <w:autoSpaceDE w:val="0"/>
              <w:autoSpaceDN w:val="0"/>
              <w:adjustRightInd w:val="0"/>
              <w:rPr>
                <w:lang w:val="en-GB" w:eastAsia="en-GB"/>
              </w:rPr>
            </w:pPr>
          </w:p>
        </w:tc>
        <w:tc>
          <w:tcPr>
            <w:tcW w:w="5670" w:type="dxa"/>
            <w:shd w:val="clear" w:color="auto" w:fill="FFFFFF"/>
          </w:tcPr>
          <w:p w:rsidR="00773456" w:rsidRDefault="00773456">
            <w:pPr>
              <w:widowControl w:val="0"/>
              <w:autoSpaceDE w:val="0"/>
              <w:autoSpaceDN w:val="0"/>
              <w:adjustRightInd w:val="0"/>
              <w:rPr>
                <w:lang w:val="en-GB" w:eastAsia="en-GB"/>
              </w:rPr>
            </w:pPr>
          </w:p>
        </w:tc>
        <w:tc>
          <w:tcPr>
            <w:tcW w:w="567" w:type="dxa"/>
            <w:shd w:val="clear" w:color="auto" w:fill="FFFFFF"/>
          </w:tcPr>
          <w:p w:rsidR="00773456" w:rsidRDefault="00773456">
            <w:pPr>
              <w:widowControl w:val="0"/>
              <w:autoSpaceDE w:val="0"/>
              <w:autoSpaceDN w:val="0"/>
              <w:adjustRightInd w:val="0"/>
              <w:rPr>
                <w:lang w:val="en-GB" w:eastAsia="en-GB"/>
              </w:rPr>
            </w:pP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15 minutes, opening the eyelids fully. If problem persists, seek medical advice.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SKIN: Remove contaminated clothing. Rinse skin with a shower immediately. Get medical advice/attention immediately. Wash contaminated clothing </w:t>
      </w:r>
      <w:r>
        <w:rPr>
          <w:rFonts w:ascii="Arial" w:hAnsi="Arial" w:cs="Arial"/>
          <w:color w:val="000000"/>
          <w:sz w:val="16"/>
          <w:szCs w:val="16"/>
          <w:lang w:val="en-GB" w:eastAsia="en-GB"/>
        </w:rPr>
        <w:lastRenderedPageBreak/>
        <w:t>before using it again.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If the subject stops breathing, administer artificial respiration. Get medical advice/attention immediately.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immediately. Do not induce vomiting. Do not administer anything not explicitly authorised by a doctor.</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 The product is combustible and, when the powder is released into the air in sufficient concentrations and in the presence of a source of ignition, it can create explosive mixtures with air. Fires may start or get worse by leakage of the solid product from the container, when it reaches high temperatures or through contact with sources of ignition.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wear full fire prevention gear. Collect extinguishing water to prevent it from draining into the sewer system. Dispose of contaminated water used for extinction and the remains of the fire according to applicable regulations.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there are no contraindications, spray powder with water to prevent the formation of dust.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 Section 8 of the safety data sheet) to prevent any contamination of skin, eyes and personal clothing. These indications apply for both processing staff and those involved in emergency procedures.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and place it in containers for recovery or disposal. If the product is flammable, use explosion-proof equipment. If there are no contraindications, use jets of water to eliminate product residues.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Evaluate the compatibility of the container to be used, by checking section 10. Contaminated material should be disposed of in compliance with the provisions set forth in point 13.</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Ensure that there is an adequate earthing system for the equipment and personnel. Avoid contact with eyes and skin. Do not breathe powders, vapours or mists. Do not eat, drink or smoke during use. Wash hands after use. Avoid leakage of the product into the environment.</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in a ventilated and dry place, far away from sources of ignition. Keep containers well sealed. Keep the product in clearly labelled containers. Avoid overheating. Avoid violent blows. Keep containers away from any incompatible materials, see section 10 for details.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During the risk assessment process, it is essential to take into consideration the ACGIH occupational exposure levels for inert particulate not otherwise classified (PNOC respirable fraction: 3 mg/m3; PNOC inhalable fraction: 10 mg/m3). For values above these limits, use a P type filter, whose class (1, 2 or 3) must be chosen according to the outcome of risk assessment.</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 supplier for advice.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product may or must come into contact or react with acids, suitable technical and/or organisational measures should be taken to prevent the development of toxic and/or inflammable gases.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case of prolonged contact with the product, protect the hands with penetration-resistant work gloves (see standard EN 374).</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 glove material must be chosen according to the use process and the products that may form. Latex gloves may cause sensitivity reactions.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clothing.</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presence of risks of exposure to splashes or squirts during work, adequate mouth, nose and eye protection should be used to prevent accidental absorption.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If the operator is exposed to a carcinogenic or mutagenic agent, wear a type FFP3 facemask, (see standard EN 149).</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Product residues must not be indiscriminately disposed of with waste water or by dumping in waterways.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powder</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white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4,2</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applicable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applicable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150</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89,00 %</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0</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0</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powders are potentially explosive when mixed with air.</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environmental dust build-up.</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mixture:500,00 mg/kg</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ZINCO FORMALDEIDE SOLFOSSILATO</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12,8 mg/kg coniglio:non irritante (OECD 404)</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Causes serious eye irritation</w:t>
      </w: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Suspected of causing genetic defects</w:t>
      </w: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product is dangerous for the environment and the aquatic organisms. In the long term, it have negative effects on aquatic environment.</w:t>
      </w: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ZINCO FORMALDEIDE SOLFOSSILATO</w:t>
            </w:r>
          </w:p>
        </w:tc>
        <w:tc>
          <w:tcPr>
            <w:tcW w:w="1134" w:type="dxa"/>
            <w:shd w:val="clear" w:color="auto" w:fill="FFFFFF"/>
          </w:tcPr>
          <w:p w:rsidR="00773456" w:rsidRDefault="00773456">
            <w:pPr>
              <w:widowControl w:val="0"/>
              <w:autoSpaceDE w:val="0"/>
              <w:autoSpaceDN w:val="0"/>
              <w:adjustRightInd w:val="0"/>
              <w:rPr>
                <w:lang w:val="en-GB" w:eastAsia="en-GB"/>
              </w:rPr>
            </w:pPr>
          </w:p>
        </w:tc>
        <w:tc>
          <w:tcPr>
            <w:tcW w:w="567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773456" w:rsidRDefault="00773456">
            <w:pPr>
              <w:widowControl w:val="0"/>
              <w:autoSpaceDE w:val="0"/>
              <w:autoSpaceDN w:val="0"/>
              <w:adjustRightInd w:val="0"/>
              <w:rPr>
                <w:lang w:val="en-GB" w:eastAsia="en-GB"/>
              </w:rPr>
            </w:pP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12 mg/l/48h</w:t>
            </w:r>
          </w:p>
        </w:tc>
      </w:tr>
      <w:tr w:rsidR="00773456">
        <w:tblPrEx>
          <w:tblCellMar>
            <w:top w:w="0" w:type="dxa"/>
            <w:bottom w:w="0" w:type="dxa"/>
          </w:tblCellMar>
        </w:tblPrEx>
        <w:tc>
          <w:tcPr>
            <w:tcW w:w="3402"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773456" w:rsidRDefault="00773456">
            <w:pPr>
              <w:widowControl w:val="0"/>
              <w:autoSpaceDE w:val="0"/>
              <w:autoSpaceDN w:val="0"/>
              <w:adjustRightInd w:val="0"/>
              <w:rPr>
                <w:lang w:val="en-GB" w:eastAsia="en-GB"/>
              </w:rPr>
            </w:pPr>
          </w:p>
        </w:tc>
        <w:tc>
          <w:tcPr>
            <w:tcW w:w="5670"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&gt; 100 mg/l/72h</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should be evaluated according to applicable regulations.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the International Air Transport Association (IATA) regulations.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are modest and that the 98/24/EC directive is respected.</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73456">
        <w:tblPrEx>
          <w:tblCellMar>
            <w:top w:w="0" w:type="dxa"/>
            <w:bottom w:w="0" w:type="dxa"/>
          </w:tblCellMar>
        </w:tblPrEx>
        <w:tc>
          <w:tcPr>
            <w:tcW w:w="10773" w:type="dxa"/>
            <w:shd w:val="clear" w:color="auto" w:fill="A8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773456" w:rsidRDefault="00773456">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Muta. 2</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Germ cell mutagenicity, category 2</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4</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4</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Irrit. 2</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Eye irritation, category 2</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3</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3</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H341</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Suspected of causing genetic defects.</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14"/>
                <w:szCs w:val="14"/>
                <w:lang w:val="en-GB" w:eastAsia="en-GB"/>
              </w:rPr>
              <w:t>H302</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H319</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H412</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Harmful to aquatic life with long lasting effects.</w:t>
            </w:r>
          </w:p>
        </w:tc>
        <w:tc>
          <w:tcPr>
            <w:tcW w:w="850" w:type="dxa"/>
            <w:shd w:val="clear" w:color="auto" w:fill="FFFFFF"/>
          </w:tcPr>
          <w:p w:rsidR="00773456" w:rsidRDefault="00773456">
            <w:pPr>
              <w:widowControl w:val="0"/>
              <w:autoSpaceDE w:val="0"/>
              <w:autoSpaceDN w:val="0"/>
              <w:adjustRightInd w:val="0"/>
              <w:rPr>
                <w:lang w:val="en-GB" w:eastAsia="en-GB"/>
              </w:rPr>
            </w:pPr>
          </w:p>
        </w:tc>
      </w:tr>
      <w:tr w:rsidR="00773456">
        <w:tblPrEx>
          <w:tblCellMar>
            <w:top w:w="0" w:type="dxa"/>
            <w:bottom w:w="0" w:type="dxa"/>
          </w:tblCellMar>
        </w:tblPrEx>
        <w:tc>
          <w:tcPr>
            <w:tcW w:w="1984" w:type="dxa"/>
            <w:shd w:val="clear" w:color="auto" w:fill="FFFFFF"/>
          </w:tcPr>
          <w:p w:rsidR="00773456" w:rsidRDefault="00773456">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EUH032</w:t>
            </w:r>
          </w:p>
        </w:tc>
        <w:tc>
          <w:tcPr>
            <w:tcW w:w="6237" w:type="dxa"/>
            <w:shd w:val="clear" w:color="auto" w:fill="FFFFFF"/>
          </w:tcPr>
          <w:p w:rsidR="00773456" w:rsidRDefault="00773456">
            <w:pPr>
              <w:widowControl w:val="0"/>
              <w:autoSpaceDE w:val="0"/>
              <w:autoSpaceDN w:val="0"/>
              <w:adjustRightInd w:val="0"/>
              <w:rPr>
                <w:lang w:val="en-GB" w:eastAsia="en-GB"/>
              </w:rPr>
            </w:pPr>
            <w:r>
              <w:rPr>
                <w:rFonts w:ascii="Arial" w:hAnsi="Arial" w:cs="Arial"/>
                <w:color w:val="000000"/>
                <w:sz w:val="16"/>
                <w:szCs w:val="16"/>
                <w:lang w:val="en-GB" w:eastAsia="en-GB"/>
              </w:rPr>
              <w:t>Contact with acids liberates very toxic gas.</w:t>
            </w:r>
          </w:p>
        </w:tc>
        <w:tc>
          <w:tcPr>
            <w:tcW w:w="850" w:type="dxa"/>
            <w:shd w:val="clear" w:color="auto" w:fill="FFFFFF"/>
          </w:tcPr>
          <w:p w:rsidR="00773456" w:rsidRDefault="00773456">
            <w:pPr>
              <w:widowControl w:val="0"/>
              <w:autoSpaceDE w:val="0"/>
              <w:autoSpaceDN w:val="0"/>
              <w:adjustRightInd w:val="0"/>
              <w:rPr>
                <w:lang w:val="en-GB" w:eastAsia="en-GB"/>
              </w:rPr>
            </w:pPr>
          </w:p>
        </w:tc>
      </w:tr>
    </w:tbl>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product.</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liability arising from improper uses.</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Provide appointed staff with adequate training on how to use chemical products.</w:t>
      </w:r>
    </w:p>
    <w:p w:rsidR="00773456" w:rsidRDefault="00773456">
      <w:pPr>
        <w:widowControl w:val="0"/>
        <w:autoSpaceDE w:val="0"/>
        <w:autoSpaceDN w:val="0"/>
        <w:adjustRightInd w:val="0"/>
        <w:jc w:val="both"/>
        <w:rPr>
          <w:lang w:val="en-GB" w:eastAsia="en-GB"/>
        </w:rPr>
      </w:pP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773456" w:rsidRDefault="00773456">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02 / 03 / 12 / 13 / 14 / 16.</w:t>
      </w:r>
    </w:p>
    <w:sectPr w:rsidR="00773456">
      <w:headerReference w:type="default" r:id="rId8"/>
      <w:footerReference w:type="default" r:id="rId9"/>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456" w:rsidRDefault="00773456">
      <w:r>
        <w:separator/>
      </w:r>
    </w:p>
  </w:endnote>
  <w:endnote w:type="continuationSeparator" w:id="0">
    <w:p w:rsidR="00773456" w:rsidRDefault="0077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56" w:rsidRDefault="009A01B2">
    <w:r>
      <w:rPr>
        <w:noProof/>
      </w:rPr>
      <mc:AlternateContent>
        <mc:Choice Requires="wps">
          <w:drawing>
            <wp:anchor distT="0" distB="0" distL="114300" distR="114300" simplePos="0" relativeHeight="251658752"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C1FB"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456" w:rsidRDefault="00773456">
      <w:r>
        <w:separator/>
      </w:r>
    </w:p>
  </w:footnote>
  <w:footnote w:type="continuationSeparator" w:id="0">
    <w:p w:rsidR="00773456" w:rsidRDefault="0077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773456">
      <w:tblPrEx>
        <w:tblCellMar>
          <w:top w:w="0" w:type="dxa"/>
          <w:bottom w:w="0" w:type="dxa"/>
        </w:tblCellMar>
      </w:tblPrEx>
      <w:tc>
        <w:tcPr>
          <w:tcW w:w="8278" w:type="dxa"/>
          <w:tcBorders>
            <w:top w:val="single" w:sz="6" w:space="0" w:color="auto"/>
            <w:left w:val="single" w:sz="6" w:space="0" w:color="auto"/>
          </w:tcBorders>
          <w:shd w:val="clear" w:color="auto" w:fill="FFFFFF"/>
        </w:tcPr>
        <w:p w:rsidR="00773456" w:rsidRDefault="00773456">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773456" w:rsidRDefault="00773456">
          <w:pPr>
            <w:autoSpaceDE w:val="0"/>
            <w:autoSpaceDN w:val="0"/>
            <w:adjustRightInd w:val="0"/>
            <w:rPr>
              <w:lang w:val="en-GB" w:eastAsia="en-GB"/>
            </w:rPr>
          </w:pPr>
          <w:r>
            <w:rPr>
              <w:rFonts w:ascii="Arial" w:hAnsi="Arial" w:cs="Arial"/>
              <w:color w:val="000000"/>
              <w:sz w:val="12"/>
              <w:szCs w:val="12"/>
              <w:lang w:val="en-GB" w:eastAsia="en-GB"/>
            </w:rPr>
            <w:t>Revision nr. 9</w:t>
          </w:r>
        </w:p>
      </w:tc>
    </w:tr>
    <w:tr w:rsidR="00773456">
      <w:tblPrEx>
        <w:tblCellMar>
          <w:top w:w="0" w:type="dxa"/>
          <w:bottom w:w="0" w:type="dxa"/>
        </w:tblCellMar>
      </w:tblPrEx>
      <w:tc>
        <w:tcPr>
          <w:tcW w:w="8278" w:type="dxa"/>
          <w:tcBorders>
            <w:left w:val="single" w:sz="6" w:space="0" w:color="auto"/>
          </w:tcBorders>
          <w:shd w:val="clear" w:color="auto" w:fill="FFFFFF"/>
        </w:tcPr>
        <w:p w:rsidR="00773456" w:rsidRDefault="00773456">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773456" w:rsidRDefault="00773456">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773456">
      <w:tblPrEx>
        <w:tblCellMar>
          <w:top w:w="0" w:type="dxa"/>
          <w:bottom w:w="0" w:type="dxa"/>
        </w:tblCellMar>
      </w:tblPrEx>
      <w:tc>
        <w:tcPr>
          <w:tcW w:w="8278" w:type="dxa"/>
          <w:tcBorders>
            <w:top w:val="single" w:sz="6" w:space="0" w:color="auto"/>
            <w:left w:val="single" w:sz="6" w:space="0" w:color="auto"/>
          </w:tcBorders>
          <w:shd w:val="clear" w:color="auto" w:fill="FFFFFF"/>
        </w:tcPr>
        <w:p w:rsidR="00773456" w:rsidRDefault="00773456">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DISCHARGE CORRODENTE</w:t>
          </w:r>
        </w:p>
      </w:tc>
      <w:tc>
        <w:tcPr>
          <w:tcW w:w="2721" w:type="dxa"/>
          <w:tcBorders>
            <w:left w:val="single" w:sz="6" w:space="0" w:color="auto"/>
            <w:right w:val="single" w:sz="6" w:space="0" w:color="auto"/>
          </w:tcBorders>
          <w:shd w:val="clear" w:color="auto" w:fill="FFFFFF"/>
        </w:tcPr>
        <w:p w:rsidR="00773456" w:rsidRDefault="00773456">
          <w:pPr>
            <w:autoSpaceDE w:val="0"/>
            <w:autoSpaceDN w:val="0"/>
            <w:adjustRightInd w:val="0"/>
            <w:rPr>
              <w:lang w:val="en-GB" w:eastAsia="en-GB"/>
            </w:rPr>
          </w:pPr>
          <w:r>
            <w:rPr>
              <w:rFonts w:ascii="Arial" w:hAnsi="Arial" w:cs="Arial"/>
              <w:color w:val="000000"/>
              <w:sz w:val="12"/>
              <w:szCs w:val="12"/>
              <w:lang w:val="en-GB" w:eastAsia="en-GB"/>
            </w:rPr>
            <w:t>Printed on 22/03/2018</w:t>
          </w:r>
        </w:p>
      </w:tc>
    </w:tr>
    <w:tr w:rsidR="00773456">
      <w:tblPrEx>
        <w:tblCellMar>
          <w:top w:w="0" w:type="dxa"/>
          <w:bottom w:w="0" w:type="dxa"/>
        </w:tblCellMar>
      </w:tblPrEx>
      <w:tc>
        <w:tcPr>
          <w:tcW w:w="8278" w:type="dxa"/>
          <w:tcBorders>
            <w:left w:val="single" w:sz="6" w:space="0" w:color="auto"/>
            <w:bottom w:val="single" w:sz="6" w:space="0" w:color="auto"/>
          </w:tcBorders>
          <w:shd w:val="clear" w:color="auto" w:fill="FFFFFF"/>
        </w:tcPr>
        <w:p w:rsidR="00773456" w:rsidRDefault="00773456">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773456" w:rsidRDefault="00773456">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sidR="000A36B5">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sidR="000A36B5">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773456" w:rsidRDefault="009A01B2">
    <w:r>
      <w:rPr>
        <w:noProof/>
      </w:rPr>
      <mc:AlternateContent>
        <mc:Choice Requires="wps">
          <w:drawing>
            <wp:anchor distT="0" distB="0" distL="114300" distR="114300" simplePos="0" relativeHeight="25165670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1B14"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B531"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B5"/>
    <w:rsid w:val="000A36B5"/>
    <w:rsid w:val="00171DD7"/>
    <w:rsid w:val="002000E3"/>
    <w:rsid w:val="002B4F1F"/>
    <w:rsid w:val="0039723C"/>
    <w:rsid w:val="00773456"/>
    <w:rsid w:val="007F2EBE"/>
    <w:rsid w:val="00884218"/>
    <w:rsid w:val="008D6CBD"/>
    <w:rsid w:val="009A01B2"/>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83486DE8-337F-41EA-9574-163CBDD2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6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36B5"/>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22851918.dotm</Template>
  <TotalTime>0</TotalTime>
  <Pages>11</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cp:lastPrinted>2018-03-22T09:47:00Z</cp:lastPrinted>
  <dcterms:created xsi:type="dcterms:W3CDTF">2018-04-12T12:23:00Z</dcterms:created>
  <dcterms:modified xsi:type="dcterms:W3CDTF">2018-04-12T12:23:00Z</dcterms:modified>
</cp:coreProperties>
</file>