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4020">
      <w:pPr>
        <w:widowControl w:val="0"/>
        <w:autoSpaceDE w:val="0"/>
        <w:autoSpaceDN w:val="0"/>
        <w:adjustRightInd w:val="0"/>
        <w:rPr>
          <w:lang w:val="en-GB" w:eastAsia="en-GB"/>
        </w:rPr>
      </w:pPr>
      <w:bookmarkStart w:id="0" w:name="_GoBack"/>
      <w:bookmarkEnd w:id="0"/>
    </w:p>
    <w:p w:rsidR="00000000" w:rsidRDefault="00564020">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AM122008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PF ADDITIVO 86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number</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293-728-5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number</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91082-17-6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4020">
            <w:pPr>
              <w:widowControl w:val="0"/>
              <w:autoSpaceDE w:val="0"/>
              <w:autoSpaceDN w:val="0"/>
              <w:adjustRightInd w:val="0"/>
              <w:jc w:val="center"/>
              <w:rPr>
                <w:lang w:val="en-GB" w:eastAsia="en-GB"/>
              </w:rPr>
            </w:pPr>
          </w:p>
        </w:tc>
      </w:tr>
    </w:tbl>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ausiliario per inchiostri plastisol</w:t>
            </w:r>
          </w:p>
        </w:tc>
      </w:tr>
    </w:tbl>
    <w:p w:rsidR="00000000" w:rsidRDefault="00564020">
      <w:pPr>
        <w:widowControl w:val="0"/>
        <w:autoSpaceDE w:val="0"/>
        <w:autoSpaceDN w:val="0"/>
        <w:adjustRightInd w:val="0"/>
        <w:jc w:val="center"/>
        <w:rPr>
          <w:lang w:val="en-GB" w:eastAsia="en-GB"/>
        </w:rPr>
      </w:pPr>
    </w:p>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564020">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4020">
            <w:pPr>
              <w:widowControl w:val="0"/>
              <w:autoSpaceDE w:val="0"/>
              <w:autoSpaceDN w:val="0"/>
              <w:adjustRightInd w:val="0"/>
              <w:jc w:val="center"/>
              <w:rPr>
                <w:lang w:val="en-GB" w:eastAsia="en-GB"/>
              </w:rPr>
            </w:pPr>
          </w:p>
        </w:tc>
      </w:tr>
    </w:tbl>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56402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56402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564020">
      <w:pPr>
        <w:widowControl w:val="0"/>
        <w:autoSpaceDE w:val="0"/>
        <w:autoSpaceDN w:val="0"/>
        <w:adjustRightInd w:val="0"/>
        <w:jc w:val="center"/>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w:t>
      </w:r>
      <w:r>
        <w:rPr>
          <w:rFonts w:ascii="Arial" w:hAnsi="Arial" w:cs="Arial"/>
          <w:color w:val="000000"/>
          <w:sz w:val="16"/>
          <w:szCs w:val="16"/>
          <w:lang w:val="en-GB" w:eastAsia="en-GB"/>
        </w:rPr>
        <w:t>ication and indication: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4020">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4020">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product is not subject to hazard labeling pursuant to EC Regulation 1272/2008 (CLP) and subsequent amendments and supplements.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w:t>
      </w:r>
      <w:r>
        <w:rPr>
          <w:rFonts w:ascii="Arial" w:hAnsi="Arial" w:cs="Arial"/>
          <w:color w:val="000000"/>
          <w:sz w:val="16"/>
          <w:szCs w:val="16"/>
          <w:lang w:val="en-GB" w:eastAsia="en-GB"/>
        </w:rPr>
        <w:t xml:space="preserve"> 0,1%.</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(EU) 1272/2008 (CLP) (and subsequen</w:t>
      </w:r>
      <w:r>
        <w:rPr>
          <w:rFonts w:ascii="Arial" w:hAnsi="Arial" w:cs="Arial"/>
          <w:color w:val="000000"/>
          <w:sz w:val="16"/>
          <w:szCs w:val="16"/>
          <w:lang w:val="en-GB" w:eastAsia="en-GB"/>
        </w:rPr>
        <w:t>t amendments and supplements) in such quantities as to require the statement.</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damage to health ascribable to the product have been reported.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w:t>
      </w:r>
      <w:r>
        <w:rPr>
          <w:rFonts w:ascii="Arial" w:hAnsi="Arial" w:cs="Arial"/>
          <w:color w:val="000000"/>
          <w:sz w:val="16"/>
          <w:szCs w:val="16"/>
          <w:lang w:val="en-GB" w:eastAsia="en-GB"/>
        </w:rPr>
        <w:t>tional kind: carbon dioxide, foam, powder and water spray.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w:t>
      </w:r>
      <w:r>
        <w:rPr>
          <w:rFonts w:ascii="Arial" w:hAnsi="Arial" w:cs="Arial"/>
          <w:color w:val="000000"/>
          <w:sz w:val="16"/>
          <w:szCs w:val="16"/>
          <w:lang w:val="en-GB" w:eastAsia="en-GB"/>
        </w:rPr>
        <w: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w:t>
      </w:r>
      <w:r>
        <w:rPr>
          <w:rFonts w:ascii="Arial" w:hAnsi="Arial" w:cs="Arial"/>
          <w:color w:val="000000"/>
          <w:sz w:val="16"/>
          <w:szCs w:val="16"/>
          <w:lang w:val="en-GB" w:eastAsia="en-GB"/>
        </w:rPr>
        <w:t>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w:t>
      </w:r>
      <w:r>
        <w:rPr>
          <w:rFonts w:ascii="Arial" w:hAnsi="Arial" w:cs="Arial"/>
          <w:color w:val="000000"/>
          <w:sz w:val="16"/>
          <w:szCs w:val="16"/>
          <w:lang w:val="en-GB" w:eastAsia="en-GB"/>
        </w:rPr>
        <w:t>AL PROTECTIVE EQUIPMENT FOR FIRE-FIGHTERS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w:t>
      </w:r>
      <w:r>
        <w:rPr>
          <w:rFonts w:ascii="Arial" w:hAnsi="Arial" w:cs="Arial"/>
          <w:color w:val="000000"/>
          <w:sz w:val="16"/>
          <w:szCs w:val="16"/>
          <w:lang w:val="en-GB" w:eastAsia="en-GB"/>
        </w:rPr>
        <w:t>tus (BS EN 137).</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w:t>
      </w:r>
      <w:r>
        <w:rPr>
          <w:rFonts w:ascii="Arial" w:hAnsi="Arial" w:cs="Arial"/>
          <w:color w:val="000000"/>
          <w:sz w:val="16"/>
          <w:szCs w:val="16"/>
          <w:lang w:val="en-GB" w:eastAsia="en-GB"/>
        </w:rPr>
        <w:t>erred to under Section 8 of the safety data sheet) to prevent any contamination of skin, eyes and personal clothing. These indications apply for both processing staff and those involved in emergency procedures.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product </w:t>
      </w:r>
      <w:r>
        <w:rPr>
          <w:rFonts w:ascii="Arial" w:hAnsi="Arial" w:cs="Arial"/>
          <w:color w:val="000000"/>
          <w:sz w:val="16"/>
          <w:szCs w:val="16"/>
          <w:lang w:val="en-GB" w:eastAsia="en-GB"/>
        </w:rPr>
        <w:t>must not penetrate into the sewer system or come into contact with surface water or ground water.</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 be used, by checking section 10. Absorb the remainder with inert absorbent material.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Make sure </w:t>
      </w:r>
      <w:r>
        <w:rPr>
          <w:rFonts w:ascii="Arial" w:hAnsi="Arial" w:cs="Arial"/>
          <w:color w:val="000000"/>
          <w:sz w:val="16"/>
          <w:szCs w:val="16"/>
          <w:lang w:val="en-GB" w:eastAsia="en-GB"/>
        </w:rPr>
        <w:t>the leakage site is well aired. Contaminated material should be disposed of in compliance with the provisions set forth in point 13.</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 unless indicated otherwise in the chemical risk assessment.</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w:t>
      </w:r>
      <w:r>
        <w:rPr>
          <w:rFonts w:ascii="Arial" w:hAnsi="Arial" w:cs="Arial"/>
          <w:color w:val="000000"/>
          <w:sz w:val="16"/>
          <w:szCs w:val="16"/>
          <w:lang w:val="en-GB" w:eastAsia="en-GB"/>
        </w:rPr>
        <w:t xml:space="preserve"> those generated by ventilation equipment, should be checked to ensure compliance with environmental standards.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yellowish</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odourless</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300-400 °C</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&gt; 60 °C</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210 °C</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5,7</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&gt;300°C</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122 mPa.s</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100,00 %</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000000">
        <w:tblPrEx>
          <w:tblCellMar>
            <w:top w:w="0" w:type="dxa"/>
            <w:bottom w:w="0" w:type="dxa"/>
          </w:tblCellMar>
        </w:tblPrEx>
        <w:tc>
          <w:tcPr>
            <w:tcW w:w="3402"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564020">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w:t>
      </w:r>
      <w:r>
        <w:rPr>
          <w:rFonts w:ascii="Arial" w:hAnsi="Arial" w:cs="Arial"/>
          <w:color w:val="000000"/>
          <w:sz w:val="16"/>
          <w:szCs w:val="16"/>
          <w:lang w:val="en-GB" w:eastAsia="en-GB"/>
        </w:rPr>
        <w:t>eseeable in normal conditions of use and storage.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w:t>
      </w:r>
      <w:r>
        <w:rPr>
          <w:rFonts w:ascii="Arial" w:hAnsi="Arial" w:cs="Arial"/>
          <w:b/>
          <w:bCs/>
          <w:color w:val="000000"/>
          <w:sz w:val="16"/>
          <w:szCs w:val="16"/>
          <w:lang w:val="en-GB" w:eastAsia="en-GB"/>
        </w:rPr>
        <w:t>osition products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GERM CELL MUTAGENICITY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w:t>
      </w:r>
      <w:r>
        <w:rPr>
          <w:rFonts w:ascii="Arial" w:hAnsi="Arial" w:cs="Arial"/>
          <w:color w:val="000000"/>
          <w:sz w:val="16"/>
          <w:szCs w:val="16"/>
          <w:lang w:val="en-GB" w:eastAsia="en-GB"/>
        </w:rPr>
        <w:t>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w:t>
      </w:r>
      <w:r>
        <w:rPr>
          <w:rFonts w:ascii="Arial" w:hAnsi="Arial" w:cs="Arial"/>
          <w:color w:val="000000"/>
          <w:sz w:val="16"/>
          <w:szCs w:val="16"/>
          <w:lang w:val="en-GB" w:eastAsia="en-GB"/>
        </w:rPr>
        <w:t>g. Inform the competent authorities, should the product reach waterways or contaminate soil or vegetation.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w:t>
      </w:r>
      <w:r>
        <w:rPr>
          <w:rFonts w:ascii="Arial" w:hAnsi="Arial" w:cs="Arial"/>
          <w:color w:val="000000"/>
          <w:sz w:val="16"/>
          <w:szCs w:val="16"/>
          <w:lang w:val="en-GB" w:eastAsia="en-GB"/>
        </w:rPr>
        <w:t xml:space="preserve"> through an authorised waste management firm, in compliance with national and local regulations.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w:t>
            </w:r>
            <w:r>
              <w:rPr>
                <w:rFonts w:ascii="Arial" w:hAnsi="Arial" w:cs="Arial"/>
                <w:b/>
                <w:bCs/>
                <w:color w:val="000000"/>
                <w:sz w:val="22"/>
                <w:szCs w:val="22"/>
                <w:lang w:val="en-GB" w:eastAsia="en-GB"/>
              </w:rPr>
              <w:t>rt information</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w:t>
      </w:r>
      <w:r>
        <w:rPr>
          <w:rFonts w:ascii="Arial" w:hAnsi="Arial" w:cs="Arial"/>
          <w:color w:val="000000"/>
          <w:sz w:val="16"/>
          <w:szCs w:val="16"/>
          <w:lang w:val="en-GB" w:eastAsia="en-GB"/>
        </w:rPr>
        <w:t>ort Association (IATA) regulations.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On the basis of available data, the product does not contain any SVHC in percentage greater </w:t>
      </w:r>
      <w:r>
        <w:rPr>
          <w:rFonts w:ascii="Arial" w:hAnsi="Arial" w:cs="Arial"/>
          <w:color w:val="000000"/>
          <w:sz w:val="16"/>
          <w:szCs w:val="16"/>
          <w:lang w:val="en-GB" w:eastAsia="en-GB"/>
        </w:rPr>
        <w:t>than 0,1%.</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German regulation on the classification of substances hazardous to water (VwVwS 2005)</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w:t>
      </w:r>
      <w:r>
        <w:rPr>
          <w:rFonts w:ascii="Arial" w:hAnsi="Arial" w:cs="Arial"/>
          <w:color w:val="000000"/>
          <w:sz w:val="16"/>
          <w:szCs w:val="16"/>
          <w:lang w:val="en-GB" w:eastAsia="en-GB"/>
        </w:rPr>
        <w:t>t has been processed for the mixture and the substances it contains.</w:t>
      </w:r>
    </w:p>
    <w:p w:rsidR="00000000" w:rsidRDefault="0056402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402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GHS: Globally Harmonized </w:t>
      </w:r>
      <w:r>
        <w:rPr>
          <w:rFonts w:ascii="Arial" w:hAnsi="Arial" w:cs="Arial"/>
          <w:color w:val="000000"/>
          <w:sz w:val="16"/>
          <w:szCs w:val="16"/>
          <w:lang w:val="en-GB" w:eastAsia="en-GB"/>
        </w:rPr>
        <w:t>System of classification and labeling of chemicals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IMO: International Maritim</w:t>
      </w:r>
      <w:r>
        <w:rPr>
          <w:rFonts w:ascii="Arial" w:hAnsi="Arial" w:cs="Arial"/>
          <w:color w:val="000000"/>
          <w:sz w:val="16"/>
          <w:szCs w:val="16"/>
          <w:lang w:val="en-GB" w:eastAsia="en-GB"/>
        </w:rPr>
        <w:t>e Organization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w:t>
      </w:r>
      <w:r>
        <w:rPr>
          <w:rFonts w:ascii="Arial" w:hAnsi="Arial" w:cs="Arial"/>
          <w:color w:val="000000"/>
          <w:sz w:val="16"/>
          <w:szCs w:val="16"/>
          <w:lang w:val="en-GB" w:eastAsia="en-GB"/>
        </w:rPr>
        <w:t>ration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w:t>
      </w:r>
      <w:r>
        <w:rPr>
          <w:rFonts w:ascii="Arial" w:hAnsi="Arial" w:cs="Arial"/>
          <w:color w:val="000000"/>
          <w:sz w:val="16"/>
          <w:szCs w:val="16"/>
          <w:lang w:val="en-GB" w:eastAsia="en-GB"/>
        </w:rPr>
        <w:t>ulative as for REACH Regulation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w:t>
      </w:r>
      <w:r>
        <w:rPr>
          <w:rFonts w:ascii="Arial" w:hAnsi="Arial" w:cs="Arial"/>
          <w:color w:val="000000"/>
          <w:sz w:val="16"/>
          <w:szCs w:val="16"/>
          <w:lang w:val="en-GB" w:eastAsia="en-GB"/>
        </w:rPr>
        <w:t>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w:t>
      </w:r>
      <w:r>
        <w:rPr>
          <w:rFonts w:ascii="Arial" w:hAnsi="Arial" w:cs="Arial"/>
          <w:color w:val="000000"/>
          <w:sz w:val="16"/>
          <w:szCs w:val="16"/>
          <w:lang w:val="en-GB" w:eastAsia="en-GB"/>
        </w:rPr>
        <w:t xml:space="preserve">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w:t>
      </w:r>
      <w:r>
        <w:rPr>
          <w:rFonts w:ascii="Arial" w:hAnsi="Arial" w:cs="Arial"/>
          <w:color w:val="000000"/>
          <w:sz w:val="16"/>
          <w:szCs w:val="16"/>
          <w:lang w:val="en-GB" w:eastAsia="en-GB"/>
        </w:rPr>
        <w:t>ation (EU) 2016/918 (VIII Atp. CLP) of the European Parliament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w:t>
      </w:r>
      <w:r>
        <w:rPr>
          <w:rFonts w:ascii="Arial" w:hAnsi="Arial" w:cs="Arial"/>
          <w:color w:val="000000"/>
          <w:sz w:val="16"/>
          <w:szCs w:val="16"/>
          <w:lang w:val="en-GB" w:eastAsia="en-GB"/>
        </w:rPr>
        <w:t>eet)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w:t>
      </w:r>
      <w:r>
        <w:rPr>
          <w:rFonts w:ascii="Arial" w:hAnsi="Arial" w:cs="Arial"/>
          <w:color w:val="000000"/>
          <w:sz w:val="16"/>
          <w:szCs w:val="16"/>
          <w:lang w:val="en-GB" w:eastAsia="en-GB"/>
        </w:rPr>
        <w:t>) - Italy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w:t>
      </w:r>
      <w:r>
        <w:rPr>
          <w:rFonts w:ascii="Arial" w:hAnsi="Arial" w:cs="Arial"/>
          <w:color w:val="000000"/>
          <w:sz w:val="16"/>
          <w:szCs w:val="16"/>
          <w:lang w:val="en-GB" w:eastAsia="en-GB"/>
        </w:rPr>
        <w:t>t.</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w:t>
      </w:r>
      <w:r>
        <w:rPr>
          <w:rFonts w:ascii="Arial" w:hAnsi="Arial" w:cs="Arial"/>
          <w:color w:val="000000"/>
          <w:sz w:val="16"/>
          <w:szCs w:val="16"/>
          <w:lang w:val="en-GB" w:eastAsia="en-GB"/>
        </w:rPr>
        <w:t>egulations. The producer is relieved from any liability arising from improper uses.</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564020">
      <w:pPr>
        <w:widowControl w:val="0"/>
        <w:autoSpaceDE w:val="0"/>
        <w:autoSpaceDN w:val="0"/>
        <w:adjustRightInd w:val="0"/>
        <w:jc w:val="both"/>
        <w:rPr>
          <w:lang w:val="en-GB" w:eastAsia="en-GB"/>
        </w:rPr>
      </w:pP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56402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01 / 03 / 09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64020">
      <w:r>
        <w:separator/>
      </w:r>
    </w:p>
  </w:endnote>
  <w:endnote w:type="continuationSeparator" w:id="0">
    <w:p w:rsidR="00000000" w:rsidRDefault="0056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64020">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615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64020">
      <w:r>
        <w:separator/>
      </w:r>
    </w:p>
  </w:footnote>
  <w:footnote w:type="continuationSeparator" w:id="0">
    <w:p w:rsidR="00000000" w:rsidRDefault="0056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6402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564020">
          <w:pPr>
            <w:autoSpaceDE w:val="0"/>
            <w:autoSpaceDN w:val="0"/>
            <w:adjustRightInd w:val="0"/>
            <w:rPr>
              <w:lang w:val="en-GB" w:eastAsia="en-GB"/>
            </w:rPr>
          </w:pPr>
          <w:r>
            <w:rPr>
              <w:rFonts w:ascii="Arial" w:hAnsi="Arial" w:cs="Arial"/>
              <w:color w:val="000000"/>
              <w:sz w:val="12"/>
              <w:szCs w:val="12"/>
              <w:lang w:val="en-GB" w:eastAsia="en-GB"/>
            </w:rPr>
            <w:t>Revision nr. 2</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564020">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564020">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6402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PF ADDITIVO 86</w:t>
          </w:r>
        </w:p>
      </w:tc>
      <w:tc>
        <w:tcPr>
          <w:tcW w:w="2721" w:type="dxa"/>
          <w:tcBorders>
            <w:left w:val="single" w:sz="6" w:space="0" w:color="auto"/>
            <w:right w:val="single" w:sz="6" w:space="0" w:color="auto"/>
          </w:tcBorders>
          <w:shd w:val="clear" w:color="auto" w:fill="FFFFFF"/>
        </w:tcPr>
        <w:p w:rsidR="00000000" w:rsidRDefault="00564020">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564020">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564020">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564020">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27CB"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BD36"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20"/>
    <w:rsid w:val="00171DD7"/>
    <w:rsid w:val="002000E3"/>
    <w:rsid w:val="002B4F1F"/>
    <w:rsid w:val="0039723C"/>
    <w:rsid w:val="00564020"/>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D893124-FB6B-4CA2-8BF3-F7BACC47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32CF055E.dotm</Template>
  <TotalTime>0</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2018-04-12T12:27:00Z</dcterms:created>
  <dcterms:modified xsi:type="dcterms:W3CDTF">2018-04-12T12:27:00Z</dcterms:modified>
</cp:coreProperties>
</file>